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9B647">
      <w:pPr>
        <w:pStyle w:val="2"/>
        <w:bidi w:val="0"/>
        <w:rPr>
          <w:rFonts w:hint="eastAsia"/>
          <w:color w:val="auto"/>
          <w:lang w:eastAsia="zh-CN"/>
        </w:rPr>
      </w:pPr>
      <w:r>
        <w:rPr>
          <w:rFonts w:hint="eastAsia"/>
          <w:color w:val="auto"/>
          <w:lang w:eastAsia="zh-CN"/>
        </w:rPr>
        <w:t>《工业节能技术改造项目节能量计算规范》</w:t>
      </w:r>
    </w:p>
    <w:p w14:paraId="3CDAAEF0">
      <w:pPr>
        <w:pStyle w:val="2"/>
        <w:bidi w:val="0"/>
        <w:rPr>
          <w:color w:val="auto"/>
        </w:rPr>
      </w:pPr>
      <w:r>
        <w:rPr>
          <w:rFonts w:hint="eastAsia" w:ascii="方正小标宋简体" w:eastAsia="方正小标宋简体" w:cs="仿宋_GB2312"/>
          <w:bCs/>
          <w:color w:val="auto"/>
          <w:sz w:val="44"/>
          <w:szCs w:val="44"/>
        </w:rPr>
        <w:t>（征求意见稿）</w:t>
      </w:r>
      <w:r>
        <w:rPr>
          <w:color w:val="auto"/>
        </w:rPr>
        <w:t>编制说明</w:t>
      </w:r>
    </w:p>
    <w:p w14:paraId="20FB4CE0">
      <w:pPr>
        <w:rPr>
          <w:color w:val="auto"/>
        </w:rPr>
      </w:pPr>
    </w:p>
    <w:p w14:paraId="04B01C9C">
      <w:pPr>
        <w:pStyle w:val="3"/>
        <w:numPr>
          <w:ilvl w:val="0"/>
          <w:numId w:val="4"/>
        </w:numPr>
        <w:bidi w:val="0"/>
        <w:rPr>
          <w:color w:val="auto"/>
        </w:rPr>
      </w:pPr>
      <w:r>
        <w:rPr>
          <w:color w:val="auto"/>
        </w:rPr>
        <w:t>任务来源、起草单位、主要起草人</w:t>
      </w:r>
    </w:p>
    <w:p w14:paraId="725AF7C1">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640" w:firstLineChars="200"/>
        <w:rPr>
          <w:rFonts w:hint="eastAsia"/>
          <w:color w:val="auto"/>
        </w:rPr>
      </w:pPr>
      <w:r>
        <w:rPr>
          <w:rFonts w:hint="eastAsia"/>
          <w:color w:val="auto"/>
        </w:rPr>
        <w:t>根据《广西标准化协会关于下达2025年第二十七批团体标准制修订项目计划的通知》（桂标协〔2025〕</w:t>
      </w:r>
      <w:r>
        <w:rPr>
          <w:rFonts w:hint="eastAsia"/>
          <w:color w:val="auto"/>
          <w:lang w:val="en-US" w:eastAsia="zh-CN"/>
        </w:rPr>
        <w:t>251</w:t>
      </w:r>
      <w:r>
        <w:rPr>
          <w:rFonts w:hint="eastAsia"/>
          <w:color w:val="auto"/>
        </w:rPr>
        <w:t>号）文件精神，由</w:t>
      </w:r>
      <w:r>
        <w:rPr>
          <w:rFonts w:hint="eastAsia"/>
          <w:color w:val="auto"/>
          <w:lang w:val="en-US" w:eastAsia="zh-CN"/>
        </w:rPr>
        <w:t>广西壮族自治区工业促进和中小企业服务中心、来宾市园区发展和中小企业服务中心、崇左市节能中心、玉林市节能中心、梧州市园区发展和中小企业服务中心、河池市节能中心、百色市工业节能中心、广西节能降碳协会、广西致协节能技术服务有限公司、南宁市超达节能环保科技有限公司、广西晨晏节能信息科技有限公司、广西科技大学</w:t>
      </w:r>
      <w:r>
        <w:rPr>
          <w:rFonts w:hint="eastAsia"/>
          <w:color w:val="auto"/>
        </w:rPr>
        <w:t>等单位共同起草的团体标准《工业节能技术改造项目节能量计算规范》（项目编号：2025-</w:t>
      </w:r>
      <w:r>
        <w:rPr>
          <w:rFonts w:hint="eastAsia"/>
          <w:color w:val="auto"/>
          <w:lang w:val="en-US" w:eastAsia="zh-CN"/>
        </w:rPr>
        <w:t>2702</w:t>
      </w:r>
      <w:r>
        <w:rPr>
          <w:rFonts w:hint="eastAsia"/>
          <w:color w:val="auto"/>
        </w:rPr>
        <w:t>）已获批立项。</w:t>
      </w:r>
    </w:p>
    <w:p w14:paraId="596FC72B">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rPr>
          <w:rFonts w:hint="default" w:ascii="Times New Roman" w:hAnsi="Times New Roman"/>
          <w:color w:val="auto"/>
          <w:lang w:val="en-US" w:eastAsia="zh-CN"/>
        </w:rPr>
      </w:pPr>
      <w:r>
        <w:rPr>
          <w:rFonts w:hint="default"/>
          <w:color w:val="auto"/>
          <w:lang w:val="en-US" w:eastAsia="zh-CN"/>
        </w:rPr>
        <w:t>为</w:t>
      </w:r>
      <w:r>
        <w:rPr>
          <w:rFonts w:hint="default" w:ascii="Times New Roman" w:hAnsi="Times New Roman"/>
          <w:color w:val="auto"/>
          <w:lang w:val="en-US" w:eastAsia="zh-CN"/>
        </w:rPr>
        <w:t>高质量编制团体标准《工业节能技术改造项目节能量计算规范》，由起草单位成立标准编制工作组并进行如下分工：</w:t>
      </w:r>
    </w:p>
    <w:tbl>
      <w:tblPr>
        <w:tblStyle w:val="9"/>
        <w:tblW w:w="8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32" w:type="dxa"/>
          <w:left w:w="64" w:type="dxa"/>
          <w:bottom w:w="32" w:type="dxa"/>
          <w:right w:w="64" w:type="dxa"/>
        </w:tblCellMar>
      </w:tblPr>
      <w:tblGrid>
        <w:gridCol w:w="1123"/>
        <w:gridCol w:w="1290"/>
        <w:gridCol w:w="1500"/>
        <w:gridCol w:w="3195"/>
        <w:gridCol w:w="1745"/>
      </w:tblGrid>
      <w:tr w14:paraId="7A38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tblHeader/>
          <w:jc w:val="center"/>
        </w:trPr>
        <w:tc>
          <w:tcPr>
            <w:tcW w:w="1123" w:type="dxa"/>
            <w:vAlign w:val="center"/>
          </w:tcPr>
          <w:p w14:paraId="135B056C">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Times New Roman" w:hAnsi="Times New Roman" w:eastAsia="仿宋_GB2312" w:cs="Times New Roman"/>
                <w:b/>
                <w:color w:val="auto"/>
                <w:sz w:val="24"/>
                <w:szCs w:val="24"/>
                <w:lang w:eastAsia="zh-CN"/>
              </w:rPr>
            </w:pPr>
            <w:r>
              <w:rPr>
                <w:rFonts w:hint="eastAsia" w:ascii="Times New Roman" w:hAnsi="Times New Roman" w:cs="Times New Roman"/>
                <w:b/>
                <w:color w:val="auto"/>
                <w:spacing w:val="-6"/>
                <w:sz w:val="24"/>
                <w:szCs w:val="24"/>
                <w:lang w:eastAsia="zh-CN"/>
              </w:rPr>
              <w:t>姓名</w:t>
            </w:r>
          </w:p>
        </w:tc>
        <w:tc>
          <w:tcPr>
            <w:tcW w:w="1290" w:type="dxa"/>
            <w:vAlign w:val="center"/>
          </w:tcPr>
          <w:p w14:paraId="1AD3D3A0">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Times New Roman" w:hAnsi="Times New Roman" w:eastAsia="仿宋_GB2312" w:cs="Times New Roman"/>
                <w:b/>
                <w:color w:val="auto"/>
                <w:sz w:val="24"/>
                <w:szCs w:val="24"/>
                <w:lang w:eastAsia="zh-CN"/>
              </w:rPr>
            </w:pPr>
            <w:r>
              <w:rPr>
                <w:rFonts w:hint="eastAsia" w:ascii="Times New Roman" w:hAnsi="Times New Roman" w:cs="Times New Roman"/>
                <w:b/>
                <w:color w:val="auto"/>
                <w:spacing w:val="-6"/>
                <w:sz w:val="24"/>
                <w:szCs w:val="24"/>
                <w:lang w:eastAsia="zh-CN"/>
              </w:rPr>
              <w:t>职务/职称</w:t>
            </w:r>
          </w:p>
        </w:tc>
        <w:tc>
          <w:tcPr>
            <w:tcW w:w="1500" w:type="dxa"/>
            <w:vAlign w:val="center"/>
          </w:tcPr>
          <w:p w14:paraId="7B661626">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Times New Roman" w:hAnsi="Times New Roman" w:eastAsia="仿宋_GB2312" w:cs="Times New Roman"/>
                <w:b/>
                <w:color w:val="auto"/>
                <w:sz w:val="24"/>
                <w:szCs w:val="24"/>
                <w:lang w:eastAsia="zh-CN"/>
              </w:rPr>
            </w:pPr>
            <w:r>
              <w:rPr>
                <w:rFonts w:hint="eastAsia" w:ascii="Times New Roman" w:hAnsi="Times New Roman" w:cs="Times New Roman"/>
                <w:b/>
                <w:color w:val="auto"/>
                <w:spacing w:val="-6"/>
                <w:sz w:val="24"/>
                <w:szCs w:val="24"/>
                <w:lang w:eastAsia="zh-CN"/>
              </w:rPr>
              <w:t>从事专业</w:t>
            </w:r>
          </w:p>
        </w:tc>
        <w:tc>
          <w:tcPr>
            <w:tcW w:w="3195" w:type="dxa"/>
            <w:vAlign w:val="center"/>
          </w:tcPr>
          <w:p w14:paraId="7D2E5C76">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Times New Roman" w:hAnsi="Times New Roman" w:eastAsia="仿宋_GB2312" w:cs="Times New Roman"/>
                <w:b/>
                <w:color w:val="auto"/>
                <w:sz w:val="24"/>
                <w:szCs w:val="24"/>
                <w:lang w:eastAsia="zh-CN"/>
              </w:rPr>
            </w:pPr>
            <w:r>
              <w:rPr>
                <w:rFonts w:hint="eastAsia" w:ascii="Times New Roman" w:hAnsi="Times New Roman" w:cs="Times New Roman"/>
                <w:b/>
                <w:color w:val="auto"/>
                <w:spacing w:val="-6"/>
                <w:sz w:val="24"/>
                <w:szCs w:val="24"/>
                <w:lang w:eastAsia="zh-CN"/>
              </w:rPr>
              <w:t>工作单位</w:t>
            </w:r>
          </w:p>
        </w:tc>
        <w:tc>
          <w:tcPr>
            <w:tcW w:w="1745" w:type="dxa"/>
            <w:vAlign w:val="center"/>
          </w:tcPr>
          <w:p w14:paraId="51609780">
            <w:pPr>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rPr>
                <w:rFonts w:hint="eastAsia" w:ascii="Times New Roman" w:hAnsi="Times New Roman" w:eastAsia="仿宋_GB2312" w:cs="Times New Roman"/>
                <w:b/>
                <w:color w:val="auto"/>
                <w:sz w:val="24"/>
                <w:szCs w:val="24"/>
                <w:lang w:eastAsia="zh-CN"/>
              </w:rPr>
            </w:pPr>
            <w:r>
              <w:rPr>
                <w:rFonts w:hint="eastAsia" w:ascii="Times New Roman" w:hAnsi="Times New Roman" w:cs="Times New Roman"/>
                <w:b/>
                <w:color w:val="auto"/>
                <w:spacing w:val="-6"/>
                <w:sz w:val="24"/>
                <w:szCs w:val="24"/>
                <w:lang w:eastAsia="zh-CN"/>
              </w:rPr>
              <w:t>责任分工</w:t>
            </w:r>
          </w:p>
        </w:tc>
      </w:tr>
      <w:tr w14:paraId="3E3D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732E47F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王占花</w:t>
            </w:r>
          </w:p>
        </w:tc>
        <w:tc>
          <w:tcPr>
            <w:tcW w:w="1290" w:type="dxa"/>
            <w:shd w:val="clear" w:color="auto" w:fill="auto"/>
            <w:vAlign w:val="center"/>
          </w:tcPr>
          <w:p w14:paraId="50CEEE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05E38B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工业节能、化学工程</w:t>
            </w:r>
          </w:p>
        </w:tc>
        <w:tc>
          <w:tcPr>
            <w:tcW w:w="3195" w:type="dxa"/>
            <w:shd w:val="clear" w:color="auto" w:fill="auto"/>
            <w:vAlign w:val="center"/>
          </w:tcPr>
          <w:p w14:paraId="2CAE5B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31A1817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5309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09" w:hRule="atLeast"/>
          <w:jc w:val="center"/>
        </w:trPr>
        <w:tc>
          <w:tcPr>
            <w:tcW w:w="1123" w:type="dxa"/>
            <w:shd w:val="clear" w:color="auto" w:fill="auto"/>
            <w:vAlign w:val="center"/>
          </w:tcPr>
          <w:p w14:paraId="78B9351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张显君</w:t>
            </w:r>
          </w:p>
        </w:tc>
        <w:tc>
          <w:tcPr>
            <w:tcW w:w="1290" w:type="dxa"/>
            <w:shd w:val="clear" w:color="auto" w:fill="auto"/>
            <w:vAlign w:val="center"/>
          </w:tcPr>
          <w:p w14:paraId="46137DA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部长</w:t>
            </w:r>
          </w:p>
        </w:tc>
        <w:tc>
          <w:tcPr>
            <w:tcW w:w="1500" w:type="dxa"/>
            <w:shd w:val="clear" w:color="auto" w:fill="auto"/>
            <w:vAlign w:val="center"/>
          </w:tcPr>
          <w:p w14:paraId="469FA2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工业节能降碳，电气工程</w:t>
            </w:r>
          </w:p>
        </w:tc>
        <w:tc>
          <w:tcPr>
            <w:tcW w:w="3195" w:type="dxa"/>
            <w:shd w:val="clear" w:color="auto" w:fill="auto"/>
            <w:vAlign w:val="center"/>
          </w:tcPr>
          <w:p w14:paraId="3B23A98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331938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主编人</w:t>
            </w:r>
          </w:p>
        </w:tc>
      </w:tr>
      <w:tr w14:paraId="708EA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49" w:hRule="atLeast"/>
          <w:jc w:val="center"/>
        </w:trPr>
        <w:tc>
          <w:tcPr>
            <w:tcW w:w="1123" w:type="dxa"/>
            <w:shd w:val="clear" w:color="auto" w:fill="auto"/>
            <w:vAlign w:val="center"/>
          </w:tcPr>
          <w:p w14:paraId="7C601B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夏倩梅</w:t>
            </w:r>
          </w:p>
        </w:tc>
        <w:tc>
          <w:tcPr>
            <w:tcW w:w="1290" w:type="dxa"/>
            <w:shd w:val="clear" w:color="auto" w:fill="auto"/>
            <w:vAlign w:val="center"/>
          </w:tcPr>
          <w:p w14:paraId="38CB8DD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0949F0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工业节能、机电工程</w:t>
            </w:r>
          </w:p>
        </w:tc>
        <w:tc>
          <w:tcPr>
            <w:tcW w:w="3195" w:type="dxa"/>
            <w:shd w:val="clear" w:color="auto" w:fill="auto"/>
            <w:vAlign w:val="center"/>
          </w:tcPr>
          <w:p w14:paraId="644981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018C0F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60A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14FE3A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曾 </w:t>
            </w:r>
            <w:r>
              <w:rPr>
                <w:rStyle w:val="20"/>
                <w:color w:val="auto"/>
                <w:lang w:val="en-US" w:eastAsia="zh-CN" w:bidi="ar"/>
              </w:rPr>
              <w:t xml:space="preserve"> 飞</w:t>
            </w:r>
          </w:p>
        </w:tc>
        <w:tc>
          <w:tcPr>
            <w:tcW w:w="1290" w:type="dxa"/>
            <w:vAlign w:val="center"/>
          </w:tcPr>
          <w:p w14:paraId="653DDA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工程师/经济师/农艺师</w:t>
            </w:r>
          </w:p>
        </w:tc>
        <w:tc>
          <w:tcPr>
            <w:tcW w:w="1500" w:type="dxa"/>
            <w:vAlign w:val="center"/>
          </w:tcPr>
          <w:p w14:paraId="6A4BFCF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工业节能，机械工程</w:t>
            </w:r>
          </w:p>
        </w:tc>
        <w:tc>
          <w:tcPr>
            <w:tcW w:w="3195" w:type="dxa"/>
            <w:shd w:val="clear" w:color="auto" w:fill="auto"/>
            <w:vAlign w:val="center"/>
          </w:tcPr>
          <w:p w14:paraId="42E883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vAlign w:val="center"/>
          </w:tcPr>
          <w:p w14:paraId="443EBC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664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4E7FE90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吕宗玲</w:t>
            </w:r>
          </w:p>
        </w:tc>
        <w:tc>
          <w:tcPr>
            <w:tcW w:w="1290" w:type="dxa"/>
            <w:vAlign w:val="center"/>
          </w:tcPr>
          <w:p w14:paraId="6B415E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副部长</w:t>
            </w:r>
          </w:p>
        </w:tc>
        <w:tc>
          <w:tcPr>
            <w:tcW w:w="1500" w:type="dxa"/>
            <w:vAlign w:val="center"/>
          </w:tcPr>
          <w:p w14:paraId="7BC0383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工业节能、自动化</w:t>
            </w:r>
          </w:p>
        </w:tc>
        <w:tc>
          <w:tcPr>
            <w:tcW w:w="3195" w:type="dxa"/>
            <w:shd w:val="clear" w:color="auto" w:fill="auto"/>
            <w:vAlign w:val="center"/>
          </w:tcPr>
          <w:p w14:paraId="19E8E7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vAlign w:val="center"/>
          </w:tcPr>
          <w:p w14:paraId="681CAD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52A05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0B47F5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姜 </w:t>
            </w:r>
            <w:r>
              <w:rPr>
                <w:rStyle w:val="20"/>
                <w:color w:val="auto"/>
                <w:lang w:val="en-US" w:eastAsia="zh-CN" w:bidi="ar"/>
              </w:rPr>
              <w:t xml:space="preserve"> 江</w:t>
            </w:r>
          </w:p>
        </w:tc>
        <w:tc>
          <w:tcPr>
            <w:tcW w:w="1290" w:type="dxa"/>
            <w:vAlign w:val="center"/>
          </w:tcPr>
          <w:p w14:paraId="63D131E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vAlign w:val="center"/>
          </w:tcPr>
          <w:p w14:paraId="603D8A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热能工程、流体机械</w:t>
            </w:r>
          </w:p>
        </w:tc>
        <w:tc>
          <w:tcPr>
            <w:tcW w:w="3195" w:type="dxa"/>
            <w:shd w:val="clear" w:color="auto" w:fill="auto"/>
            <w:vAlign w:val="center"/>
          </w:tcPr>
          <w:p w14:paraId="5C3226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vAlign w:val="center"/>
          </w:tcPr>
          <w:p w14:paraId="4D3AE81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17E6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2F64A2C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杨成军</w:t>
            </w:r>
          </w:p>
        </w:tc>
        <w:tc>
          <w:tcPr>
            <w:tcW w:w="1290" w:type="dxa"/>
            <w:shd w:val="clear" w:color="auto" w:fill="auto"/>
            <w:vAlign w:val="center"/>
          </w:tcPr>
          <w:p w14:paraId="3FCFEF6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4FED72B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建筑建材</w:t>
            </w:r>
          </w:p>
        </w:tc>
        <w:tc>
          <w:tcPr>
            <w:tcW w:w="3195" w:type="dxa"/>
            <w:shd w:val="clear" w:color="auto" w:fill="auto"/>
            <w:vAlign w:val="center"/>
          </w:tcPr>
          <w:p w14:paraId="09BEFB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427593D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0EEA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12C342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_GB2312" w:cs="Times New Roman"/>
                <w:color w:val="auto"/>
                <w:sz w:val="21"/>
                <w:szCs w:val="21"/>
                <w:lang w:val="en-US" w:eastAsia="zh-CN"/>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陆锡恩</w:t>
            </w:r>
          </w:p>
        </w:tc>
        <w:tc>
          <w:tcPr>
            <w:tcW w:w="1290" w:type="dxa"/>
            <w:shd w:val="clear" w:color="auto" w:fill="auto"/>
            <w:vAlign w:val="center"/>
          </w:tcPr>
          <w:p w14:paraId="0F56AD8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val="en-US" w:eastAsia="zh-CN"/>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36ABE80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工业节能、电气工程</w:t>
            </w:r>
          </w:p>
        </w:tc>
        <w:tc>
          <w:tcPr>
            <w:tcW w:w="3195" w:type="dxa"/>
            <w:shd w:val="clear" w:color="auto" w:fill="auto"/>
            <w:vAlign w:val="center"/>
          </w:tcPr>
          <w:p w14:paraId="26EC281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754CC4B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07E7D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1E97DB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蒋</w:t>
            </w:r>
            <w:r>
              <w:rPr>
                <w:rStyle w:val="20"/>
                <w:color w:val="auto"/>
                <w:lang w:val="en-US" w:eastAsia="zh-CN" w:bidi="ar"/>
              </w:rPr>
              <w:t xml:space="preserve">  鑫</w:t>
            </w:r>
          </w:p>
        </w:tc>
        <w:tc>
          <w:tcPr>
            <w:tcW w:w="1290" w:type="dxa"/>
            <w:shd w:val="clear" w:color="auto" w:fill="auto"/>
            <w:vAlign w:val="center"/>
          </w:tcPr>
          <w:p w14:paraId="03DFEFD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33"/>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干部</w:t>
            </w:r>
          </w:p>
        </w:tc>
        <w:tc>
          <w:tcPr>
            <w:tcW w:w="1500" w:type="dxa"/>
            <w:shd w:val="clear" w:color="auto" w:fill="auto"/>
            <w:vAlign w:val="center"/>
          </w:tcPr>
          <w:p w14:paraId="0F6544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工业节能、动力工程</w:t>
            </w:r>
          </w:p>
        </w:tc>
        <w:tc>
          <w:tcPr>
            <w:tcW w:w="3195" w:type="dxa"/>
            <w:shd w:val="clear" w:color="auto" w:fill="auto"/>
            <w:vAlign w:val="center"/>
          </w:tcPr>
          <w:p w14:paraId="376708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3C80AB0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val="en-US" w:eastAsia="zh-CN"/>
                <w:woUserID w:val="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C59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2427F13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黄东亮</w:t>
            </w:r>
          </w:p>
        </w:tc>
        <w:tc>
          <w:tcPr>
            <w:tcW w:w="1290" w:type="dxa"/>
            <w:shd w:val="clear" w:color="auto" w:fill="auto"/>
            <w:vAlign w:val="center"/>
          </w:tcPr>
          <w:p w14:paraId="7B4B35A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35C1375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w:t>
            </w:r>
          </w:p>
        </w:tc>
        <w:tc>
          <w:tcPr>
            <w:tcW w:w="3195" w:type="dxa"/>
            <w:shd w:val="clear" w:color="auto" w:fill="auto"/>
            <w:vAlign w:val="center"/>
          </w:tcPr>
          <w:p w14:paraId="17E964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584F1BD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3E12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31A0B72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欧阳朋</w:t>
            </w:r>
          </w:p>
        </w:tc>
        <w:tc>
          <w:tcPr>
            <w:tcW w:w="1290" w:type="dxa"/>
            <w:shd w:val="clear" w:color="auto" w:fill="auto"/>
            <w:vAlign w:val="center"/>
          </w:tcPr>
          <w:p w14:paraId="5F16A0A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1E3594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43"/>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工业节能降碳、化学工程</w:t>
            </w:r>
          </w:p>
        </w:tc>
        <w:tc>
          <w:tcPr>
            <w:tcW w:w="3195" w:type="dxa"/>
            <w:shd w:val="clear" w:color="auto" w:fill="auto"/>
            <w:vAlign w:val="center"/>
          </w:tcPr>
          <w:p w14:paraId="4701975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1557EF7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20059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1F3B807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蒋 </w:t>
            </w:r>
            <w:r>
              <w:rPr>
                <w:rStyle w:val="20"/>
                <w:color w:val="auto"/>
                <w:lang w:val="en-US" w:eastAsia="zh-CN" w:bidi="ar"/>
              </w:rPr>
              <w:t xml:space="preserve"> 舒</w:t>
            </w:r>
          </w:p>
        </w:tc>
        <w:tc>
          <w:tcPr>
            <w:tcW w:w="1290" w:type="dxa"/>
            <w:shd w:val="clear" w:color="auto" w:fill="auto"/>
            <w:vAlign w:val="center"/>
          </w:tcPr>
          <w:p w14:paraId="7293480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69AA3FD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清洁能源</w:t>
            </w:r>
          </w:p>
        </w:tc>
        <w:tc>
          <w:tcPr>
            <w:tcW w:w="3195" w:type="dxa"/>
            <w:shd w:val="clear" w:color="auto" w:fill="auto"/>
            <w:vAlign w:val="center"/>
          </w:tcPr>
          <w:p w14:paraId="086358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来宾市园区发展和中小企业服务中心</w:t>
            </w:r>
          </w:p>
        </w:tc>
        <w:tc>
          <w:tcPr>
            <w:tcW w:w="1745" w:type="dxa"/>
            <w:shd w:val="clear" w:color="auto" w:fill="auto"/>
            <w:vAlign w:val="center"/>
          </w:tcPr>
          <w:p w14:paraId="1189F19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FB0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57CCCB3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雷金月</w:t>
            </w:r>
          </w:p>
        </w:tc>
        <w:tc>
          <w:tcPr>
            <w:tcW w:w="1290" w:type="dxa"/>
            <w:shd w:val="clear" w:color="auto" w:fill="auto"/>
            <w:vAlign w:val="center"/>
          </w:tcPr>
          <w:p w14:paraId="644C667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67C55FC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工业分析</w:t>
            </w:r>
          </w:p>
        </w:tc>
        <w:tc>
          <w:tcPr>
            <w:tcW w:w="3195" w:type="dxa"/>
            <w:shd w:val="clear" w:color="auto" w:fill="auto"/>
            <w:vAlign w:val="center"/>
          </w:tcPr>
          <w:p w14:paraId="0118A36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崇左市节能中心</w:t>
            </w:r>
          </w:p>
        </w:tc>
        <w:tc>
          <w:tcPr>
            <w:tcW w:w="1745" w:type="dxa"/>
            <w:shd w:val="clear" w:color="auto" w:fill="auto"/>
            <w:vAlign w:val="center"/>
          </w:tcPr>
          <w:p w14:paraId="5E4E1EF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8D7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256258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黎一毅</w:t>
            </w:r>
          </w:p>
        </w:tc>
        <w:tc>
          <w:tcPr>
            <w:tcW w:w="1290" w:type="dxa"/>
            <w:shd w:val="clear" w:color="auto" w:fill="auto"/>
            <w:vAlign w:val="center"/>
          </w:tcPr>
          <w:p w14:paraId="4654CA5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55B0CD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工业工程</w:t>
            </w:r>
          </w:p>
        </w:tc>
        <w:tc>
          <w:tcPr>
            <w:tcW w:w="3195" w:type="dxa"/>
            <w:shd w:val="clear" w:color="auto" w:fill="auto"/>
            <w:vAlign w:val="center"/>
          </w:tcPr>
          <w:p w14:paraId="1DFB52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玉林市节能中心</w:t>
            </w:r>
          </w:p>
        </w:tc>
        <w:tc>
          <w:tcPr>
            <w:tcW w:w="1745" w:type="dxa"/>
            <w:shd w:val="clear" w:color="auto" w:fill="auto"/>
            <w:vAlign w:val="center"/>
          </w:tcPr>
          <w:p w14:paraId="4D2D5D6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0D5F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4C5238F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赖李晔</w:t>
            </w:r>
          </w:p>
        </w:tc>
        <w:tc>
          <w:tcPr>
            <w:tcW w:w="1290" w:type="dxa"/>
            <w:shd w:val="clear" w:color="auto" w:fill="auto"/>
            <w:vAlign w:val="center"/>
          </w:tcPr>
          <w:p w14:paraId="1C8873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577E3CD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电子信息</w:t>
            </w:r>
          </w:p>
        </w:tc>
        <w:tc>
          <w:tcPr>
            <w:tcW w:w="3195" w:type="dxa"/>
            <w:shd w:val="clear" w:color="auto" w:fill="auto"/>
            <w:vAlign w:val="center"/>
          </w:tcPr>
          <w:p w14:paraId="10F1A31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梧州市园区发展和中小企业服务中心</w:t>
            </w:r>
          </w:p>
        </w:tc>
        <w:tc>
          <w:tcPr>
            <w:tcW w:w="1745" w:type="dxa"/>
            <w:shd w:val="clear" w:color="auto" w:fill="auto"/>
            <w:vAlign w:val="center"/>
          </w:tcPr>
          <w:p w14:paraId="13227E8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57C5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2202B02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胡卫东</w:t>
            </w:r>
          </w:p>
        </w:tc>
        <w:tc>
          <w:tcPr>
            <w:tcW w:w="1290" w:type="dxa"/>
            <w:shd w:val="clear" w:color="auto" w:fill="auto"/>
            <w:vAlign w:val="center"/>
          </w:tcPr>
          <w:p w14:paraId="415801F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212210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工业节能、节能分析</w:t>
            </w:r>
          </w:p>
        </w:tc>
        <w:tc>
          <w:tcPr>
            <w:tcW w:w="3195" w:type="dxa"/>
            <w:shd w:val="clear" w:color="auto" w:fill="auto"/>
            <w:vAlign w:val="center"/>
          </w:tcPr>
          <w:p w14:paraId="31427E0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河池市节能中心</w:t>
            </w:r>
          </w:p>
        </w:tc>
        <w:tc>
          <w:tcPr>
            <w:tcW w:w="1745" w:type="dxa"/>
            <w:shd w:val="clear" w:color="auto" w:fill="auto"/>
            <w:vAlign w:val="center"/>
          </w:tcPr>
          <w:p w14:paraId="6CF4486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2544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533ED00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隆 </w:t>
            </w:r>
            <w:r>
              <w:rPr>
                <w:rStyle w:val="20"/>
                <w:color w:val="auto"/>
                <w:lang w:val="en-US" w:eastAsia="zh-CN" w:bidi="ar"/>
              </w:rPr>
              <w:t xml:space="preserve"> 俊</w:t>
            </w:r>
          </w:p>
        </w:tc>
        <w:tc>
          <w:tcPr>
            <w:tcW w:w="1290" w:type="dxa"/>
            <w:shd w:val="clear" w:color="auto" w:fill="auto"/>
            <w:vAlign w:val="center"/>
          </w:tcPr>
          <w:p w14:paraId="54E919E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75AC28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w:t>
            </w:r>
          </w:p>
        </w:tc>
        <w:tc>
          <w:tcPr>
            <w:tcW w:w="3195" w:type="dxa"/>
            <w:shd w:val="clear" w:color="auto" w:fill="auto"/>
            <w:vAlign w:val="center"/>
          </w:tcPr>
          <w:p w14:paraId="79F28EA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百色市工业节能中心</w:t>
            </w:r>
          </w:p>
        </w:tc>
        <w:tc>
          <w:tcPr>
            <w:tcW w:w="1745" w:type="dxa"/>
            <w:shd w:val="clear" w:color="auto" w:fill="auto"/>
            <w:vAlign w:val="center"/>
          </w:tcPr>
          <w:p w14:paraId="62E6F21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7742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68" w:hRule="atLeast"/>
          <w:jc w:val="center"/>
        </w:trPr>
        <w:tc>
          <w:tcPr>
            <w:tcW w:w="1123" w:type="dxa"/>
            <w:shd w:val="clear" w:color="auto" w:fill="auto"/>
            <w:vAlign w:val="center"/>
          </w:tcPr>
          <w:p w14:paraId="2FEE8B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戚汝国</w:t>
            </w:r>
          </w:p>
        </w:tc>
        <w:tc>
          <w:tcPr>
            <w:tcW w:w="1290" w:type="dxa"/>
            <w:shd w:val="clear" w:color="auto" w:fill="auto"/>
            <w:vAlign w:val="center"/>
          </w:tcPr>
          <w:p w14:paraId="08FF22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401D3CF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w:t>
            </w:r>
          </w:p>
        </w:tc>
        <w:tc>
          <w:tcPr>
            <w:tcW w:w="3195" w:type="dxa"/>
            <w:shd w:val="clear" w:color="auto" w:fill="auto"/>
            <w:vAlign w:val="center"/>
          </w:tcPr>
          <w:p w14:paraId="1F2742C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广西节能降碳协会</w:t>
            </w:r>
          </w:p>
        </w:tc>
        <w:tc>
          <w:tcPr>
            <w:tcW w:w="1745" w:type="dxa"/>
            <w:shd w:val="clear" w:color="auto" w:fill="auto"/>
            <w:vAlign w:val="center"/>
          </w:tcPr>
          <w:p w14:paraId="373751B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0D8C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06980E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刘敬东</w:t>
            </w:r>
          </w:p>
        </w:tc>
        <w:tc>
          <w:tcPr>
            <w:tcW w:w="1290" w:type="dxa"/>
            <w:shd w:val="clear" w:color="auto" w:fill="auto"/>
            <w:vAlign w:val="center"/>
          </w:tcPr>
          <w:p w14:paraId="3C7F3DA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6D6E08D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化学工程</w:t>
            </w:r>
          </w:p>
        </w:tc>
        <w:tc>
          <w:tcPr>
            <w:tcW w:w="3195" w:type="dxa"/>
            <w:shd w:val="clear" w:color="auto" w:fill="auto"/>
            <w:vAlign w:val="center"/>
          </w:tcPr>
          <w:p w14:paraId="57CBA90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广西节能降碳协会</w:t>
            </w:r>
          </w:p>
        </w:tc>
        <w:tc>
          <w:tcPr>
            <w:tcW w:w="1745" w:type="dxa"/>
            <w:shd w:val="clear" w:color="auto" w:fill="auto"/>
            <w:vAlign w:val="center"/>
          </w:tcPr>
          <w:p w14:paraId="7A0D8D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391A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vMerge w:val="restart"/>
            <w:shd w:val="clear" w:color="auto" w:fill="auto"/>
            <w:vAlign w:val="center"/>
          </w:tcPr>
          <w:p w14:paraId="3A66FF1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张晓栋</w:t>
            </w:r>
          </w:p>
        </w:tc>
        <w:tc>
          <w:tcPr>
            <w:tcW w:w="1290" w:type="dxa"/>
            <w:shd w:val="clear" w:color="auto" w:fill="auto"/>
            <w:vAlign w:val="center"/>
          </w:tcPr>
          <w:p w14:paraId="7E309C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vMerge w:val="restart"/>
            <w:shd w:val="clear" w:color="auto" w:fill="auto"/>
            <w:vAlign w:val="center"/>
          </w:tcPr>
          <w:p w14:paraId="10DAEB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轻工、纺织</w:t>
            </w:r>
          </w:p>
        </w:tc>
        <w:tc>
          <w:tcPr>
            <w:tcW w:w="3195" w:type="dxa"/>
            <w:vMerge w:val="restart"/>
            <w:shd w:val="clear" w:color="auto" w:fill="auto"/>
            <w:vAlign w:val="center"/>
          </w:tcPr>
          <w:p w14:paraId="17E377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广西致协节能技术服务有限公司</w:t>
            </w:r>
          </w:p>
        </w:tc>
        <w:tc>
          <w:tcPr>
            <w:tcW w:w="1745" w:type="dxa"/>
            <w:vMerge w:val="restart"/>
            <w:shd w:val="clear" w:color="auto" w:fill="auto"/>
            <w:vAlign w:val="center"/>
          </w:tcPr>
          <w:p w14:paraId="3558BF7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5BDD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vMerge w:val="continue"/>
            <w:shd w:val="clear" w:color="auto" w:fill="auto"/>
            <w:vAlign w:val="center"/>
          </w:tcPr>
          <w:p w14:paraId="782BC600">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color w:val="auto"/>
                <w:kern w:val="2"/>
                <w:sz w:val="21"/>
                <w:szCs w:val="21"/>
                <w:lang w:val="en-US" w:eastAsia="zh-CN" w:bidi="ar-SA"/>
              </w:rPr>
            </w:pPr>
          </w:p>
        </w:tc>
        <w:tc>
          <w:tcPr>
            <w:tcW w:w="1290" w:type="dxa"/>
            <w:shd w:val="clear" w:color="auto" w:fill="auto"/>
            <w:vAlign w:val="center"/>
          </w:tcPr>
          <w:p w14:paraId="2CB7BE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注册咨询工程（投资）</w:t>
            </w:r>
          </w:p>
        </w:tc>
        <w:tc>
          <w:tcPr>
            <w:tcW w:w="1500" w:type="dxa"/>
            <w:vMerge w:val="continue"/>
            <w:shd w:val="clear" w:color="auto" w:fill="auto"/>
            <w:vAlign w:val="center"/>
          </w:tcPr>
          <w:p w14:paraId="1EF3965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color w:val="auto"/>
                <w:kern w:val="2"/>
                <w:sz w:val="21"/>
                <w:szCs w:val="21"/>
                <w:lang w:val="en-US" w:eastAsia="zh" w:bidi="ar-SA"/>
              </w:rPr>
            </w:pPr>
          </w:p>
        </w:tc>
        <w:tc>
          <w:tcPr>
            <w:tcW w:w="3195" w:type="dxa"/>
            <w:vMerge w:val="continue"/>
            <w:shd w:val="clear" w:color="auto" w:fill="auto"/>
            <w:vAlign w:val="center"/>
          </w:tcPr>
          <w:p w14:paraId="1108AD5A">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color w:val="auto"/>
                <w:kern w:val="2"/>
                <w:sz w:val="21"/>
                <w:szCs w:val="21"/>
                <w:lang w:val="en-US" w:eastAsia="zh-CN" w:bidi="ar-SA"/>
              </w:rPr>
            </w:pPr>
          </w:p>
        </w:tc>
        <w:tc>
          <w:tcPr>
            <w:tcW w:w="1745" w:type="dxa"/>
            <w:vMerge w:val="continue"/>
            <w:shd w:val="clear" w:color="auto" w:fill="auto"/>
            <w:vAlign w:val="center"/>
          </w:tcPr>
          <w:p w14:paraId="14259A95">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color w:val="auto"/>
                <w:kern w:val="2"/>
                <w:sz w:val="21"/>
                <w:szCs w:val="21"/>
                <w:lang w:val="en-US" w:eastAsia="zh-CN" w:bidi="ar-SA"/>
              </w:rPr>
            </w:pPr>
          </w:p>
        </w:tc>
      </w:tr>
      <w:tr w14:paraId="5D7D7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634602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程思超</w:t>
            </w:r>
          </w:p>
        </w:tc>
        <w:tc>
          <w:tcPr>
            <w:tcW w:w="1290" w:type="dxa"/>
            <w:shd w:val="clear" w:color="auto" w:fill="auto"/>
            <w:vAlign w:val="center"/>
          </w:tcPr>
          <w:p w14:paraId="4A16F7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45C536D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环境保护工程</w:t>
            </w:r>
          </w:p>
        </w:tc>
        <w:tc>
          <w:tcPr>
            <w:tcW w:w="3195" w:type="dxa"/>
            <w:shd w:val="clear" w:color="auto" w:fill="auto"/>
            <w:vAlign w:val="center"/>
          </w:tcPr>
          <w:p w14:paraId="4EB01EE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南宁市超达节能环保科技有限公司</w:t>
            </w:r>
          </w:p>
        </w:tc>
        <w:tc>
          <w:tcPr>
            <w:tcW w:w="1745" w:type="dxa"/>
            <w:shd w:val="clear" w:color="auto" w:fill="auto"/>
            <w:vAlign w:val="center"/>
          </w:tcPr>
          <w:p w14:paraId="2C0BDC4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4A46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768094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韦良义</w:t>
            </w:r>
          </w:p>
        </w:tc>
        <w:tc>
          <w:tcPr>
            <w:tcW w:w="1290" w:type="dxa"/>
            <w:shd w:val="clear" w:color="auto" w:fill="auto"/>
            <w:vAlign w:val="center"/>
          </w:tcPr>
          <w:p w14:paraId="21C4F72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5DD581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热能与动力工程</w:t>
            </w:r>
          </w:p>
        </w:tc>
        <w:tc>
          <w:tcPr>
            <w:tcW w:w="3195" w:type="dxa"/>
            <w:shd w:val="clear" w:color="auto" w:fill="auto"/>
            <w:vAlign w:val="center"/>
          </w:tcPr>
          <w:p w14:paraId="4592C83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广西晨晏节能信息科技有限公司</w:t>
            </w:r>
          </w:p>
        </w:tc>
        <w:tc>
          <w:tcPr>
            <w:tcW w:w="1745" w:type="dxa"/>
            <w:shd w:val="clear" w:color="auto" w:fill="auto"/>
            <w:vAlign w:val="center"/>
          </w:tcPr>
          <w:p w14:paraId="6D9DEAD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1D04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61A1764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章帆</w:t>
            </w:r>
          </w:p>
        </w:tc>
        <w:tc>
          <w:tcPr>
            <w:tcW w:w="1290" w:type="dxa"/>
            <w:shd w:val="clear" w:color="auto" w:fill="auto"/>
            <w:vAlign w:val="center"/>
          </w:tcPr>
          <w:p w14:paraId="033BB51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shd w:val="clear" w:color="auto" w:fill="auto"/>
            <w:vAlign w:val="center"/>
          </w:tcPr>
          <w:p w14:paraId="1C0094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w:t>
            </w:r>
          </w:p>
        </w:tc>
        <w:tc>
          <w:tcPr>
            <w:tcW w:w="3195" w:type="dxa"/>
            <w:shd w:val="clear" w:color="auto" w:fill="auto"/>
            <w:vAlign w:val="center"/>
          </w:tcPr>
          <w:p w14:paraId="101424A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广西科技大学</w:t>
            </w:r>
          </w:p>
        </w:tc>
        <w:tc>
          <w:tcPr>
            <w:tcW w:w="1745" w:type="dxa"/>
            <w:shd w:val="clear" w:color="auto" w:fill="auto"/>
            <w:vAlign w:val="center"/>
          </w:tcPr>
          <w:p w14:paraId="385180B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编写组</w:t>
            </w:r>
          </w:p>
        </w:tc>
      </w:tr>
      <w:tr w14:paraId="3E98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3A2A10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范华玲</w:t>
            </w:r>
          </w:p>
        </w:tc>
        <w:tc>
          <w:tcPr>
            <w:tcW w:w="1290" w:type="dxa"/>
            <w:shd w:val="clear" w:color="auto" w:fill="auto"/>
            <w:vAlign w:val="center"/>
          </w:tcPr>
          <w:p w14:paraId="789C24A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635069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电气工程</w:t>
            </w:r>
          </w:p>
        </w:tc>
        <w:tc>
          <w:tcPr>
            <w:tcW w:w="3195" w:type="dxa"/>
            <w:shd w:val="clear" w:color="auto" w:fill="auto"/>
            <w:vAlign w:val="center"/>
          </w:tcPr>
          <w:p w14:paraId="1BFA3E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0B5A1D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5794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322C20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冯 晨</w:t>
            </w:r>
          </w:p>
        </w:tc>
        <w:tc>
          <w:tcPr>
            <w:tcW w:w="1290" w:type="dxa"/>
            <w:shd w:val="clear" w:color="auto" w:fill="auto"/>
            <w:vAlign w:val="center"/>
          </w:tcPr>
          <w:p w14:paraId="7A8F560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经济师</w:t>
            </w:r>
          </w:p>
        </w:tc>
        <w:tc>
          <w:tcPr>
            <w:tcW w:w="1500" w:type="dxa"/>
            <w:shd w:val="clear" w:color="auto" w:fill="auto"/>
            <w:vAlign w:val="center"/>
          </w:tcPr>
          <w:p w14:paraId="46AA376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经济分析、会计学</w:t>
            </w:r>
          </w:p>
        </w:tc>
        <w:tc>
          <w:tcPr>
            <w:tcW w:w="3195" w:type="dxa"/>
            <w:shd w:val="clear" w:color="auto" w:fill="auto"/>
            <w:vAlign w:val="center"/>
          </w:tcPr>
          <w:p w14:paraId="61CA49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164545B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78DF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1A1BB7E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黄金凤</w:t>
            </w:r>
          </w:p>
        </w:tc>
        <w:tc>
          <w:tcPr>
            <w:tcW w:w="1290" w:type="dxa"/>
            <w:shd w:val="clear" w:color="auto" w:fill="auto"/>
            <w:vAlign w:val="center"/>
          </w:tcPr>
          <w:p w14:paraId="65AF6F2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高级经济师</w:t>
            </w:r>
          </w:p>
        </w:tc>
        <w:tc>
          <w:tcPr>
            <w:tcW w:w="1500" w:type="dxa"/>
            <w:shd w:val="clear" w:color="auto" w:fill="auto"/>
            <w:vAlign w:val="center"/>
          </w:tcPr>
          <w:p w14:paraId="3918AEA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工业经济研究</w:t>
            </w:r>
          </w:p>
        </w:tc>
        <w:tc>
          <w:tcPr>
            <w:tcW w:w="3195" w:type="dxa"/>
            <w:shd w:val="clear" w:color="auto" w:fill="auto"/>
            <w:vAlign w:val="center"/>
          </w:tcPr>
          <w:p w14:paraId="78A4458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7509160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2136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2D4C837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仿宋_GB2312" w:cs="Times New Roman"/>
                <w:color w:val="auto"/>
                <w:sz w:val="21"/>
                <w:szCs w:val="21"/>
                <w:lang w:eastAsia="zh"/>
                <w:woUserID w:val="13"/>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陈俊妃</w:t>
            </w:r>
          </w:p>
        </w:tc>
        <w:tc>
          <w:tcPr>
            <w:tcW w:w="1290" w:type="dxa"/>
            <w:shd w:val="clear" w:color="auto" w:fill="auto"/>
            <w:vAlign w:val="center"/>
          </w:tcPr>
          <w:p w14:paraId="456679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woUserID w:val="13"/>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shd w:val="clear" w:color="auto" w:fill="auto"/>
            <w:vAlign w:val="center"/>
          </w:tcPr>
          <w:p w14:paraId="46F216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woUserID w:val="13"/>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化学工艺</w:t>
            </w:r>
          </w:p>
        </w:tc>
        <w:tc>
          <w:tcPr>
            <w:tcW w:w="3195" w:type="dxa"/>
            <w:shd w:val="clear" w:color="auto" w:fill="auto"/>
            <w:vAlign w:val="center"/>
          </w:tcPr>
          <w:p w14:paraId="09DF0B4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shd w:val="clear" w:color="auto" w:fill="auto"/>
            <w:vAlign w:val="center"/>
          </w:tcPr>
          <w:p w14:paraId="44F6321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584F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86" w:hRule="atLeast"/>
          <w:jc w:val="center"/>
        </w:trPr>
        <w:tc>
          <w:tcPr>
            <w:tcW w:w="1123" w:type="dxa"/>
            <w:shd w:val="clear" w:color="auto" w:fill="auto"/>
            <w:vAlign w:val="center"/>
          </w:tcPr>
          <w:p w14:paraId="42EA38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陈 宇</w:t>
            </w:r>
          </w:p>
        </w:tc>
        <w:tc>
          <w:tcPr>
            <w:tcW w:w="1290" w:type="dxa"/>
            <w:shd w:val="clear" w:color="auto" w:fill="auto"/>
            <w:vAlign w:val="center"/>
          </w:tcPr>
          <w:p w14:paraId="017BB47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color w:val="auto"/>
                <w:kern w:val="2"/>
                <w:sz w:val="21"/>
                <w:szCs w:val="21"/>
                <w:lang w:val="en-US" w:eastAsia="zh" w:bidi="ar-SA"/>
              </w:rPr>
            </w:pPr>
          </w:p>
        </w:tc>
        <w:tc>
          <w:tcPr>
            <w:tcW w:w="1500" w:type="dxa"/>
            <w:shd w:val="clear" w:color="auto" w:fill="auto"/>
            <w:vAlign w:val="center"/>
          </w:tcPr>
          <w:p w14:paraId="7F5117B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 w:bidi="ar-SA"/>
                <w:woUserID w:val="13"/>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工业节能</w:t>
            </w:r>
          </w:p>
        </w:tc>
        <w:tc>
          <w:tcPr>
            <w:tcW w:w="3195" w:type="dxa"/>
            <w:shd w:val="clear" w:color="auto" w:fill="auto"/>
            <w:vAlign w:val="center"/>
          </w:tcPr>
          <w:p w14:paraId="45CC199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百色市工业节能中心</w:t>
            </w:r>
          </w:p>
        </w:tc>
        <w:tc>
          <w:tcPr>
            <w:tcW w:w="1745" w:type="dxa"/>
            <w:shd w:val="clear" w:color="auto" w:fill="auto"/>
            <w:vAlign w:val="center"/>
          </w:tcPr>
          <w:p w14:paraId="5954224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6EB7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4044E9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吴瑜瑜</w:t>
            </w:r>
          </w:p>
        </w:tc>
        <w:tc>
          <w:tcPr>
            <w:tcW w:w="1290" w:type="dxa"/>
            <w:vAlign w:val="center"/>
          </w:tcPr>
          <w:p w14:paraId="27987BF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vAlign w:val="center"/>
          </w:tcPr>
          <w:p w14:paraId="26BA8B8B">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仿宋_GB2312" w:cs="Times New Roman"/>
                <w:color w:val="auto"/>
                <w:sz w:val="21"/>
                <w:szCs w:val="21"/>
                <w:lang w:eastAsia="zh"/>
              </w:rPr>
            </w:pPr>
          </w:p>
        </w:tc>
        <w:tc>
          <w:tcPr>
            <w:tcW w:w="3195" w:type="dxa"/>
            <w:shd w:val="clear" w:color="auto" w:fill="auto"/>
            <w:vAlign w:val="center"/>
          </w:tcPr>
          <w:p w14:paraId="7668E53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崇左市节能中心</w:t>
            </w:r>
          </w:p>
        </w:tc>
        <w:tc>
          <w:tcPr>
            <w:tcW w:w="1745" w:type="dxa"/>
            <w:vAlign w:val="center"/>
          </w:tcPr>
          <w:p w14:paraId="58D3B46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3E8E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986" w:hRule="atLeast"/>
          <w:jc w:val="center"/>
        </w:trPr>
        <w:tc>
          <w:tcPr>
            <w:tcW w:w="1123" w:type="dxa"/>
            <w:shd w:val="clear" w:color="auto" w:fill="auto"/>
            <w:vAlign w:val="center"/>
          </w:tcPr>
          <w:p w14:paraId="59F662F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张 </w:t>
            </w:r>
            <w:r>
              <w:rPr>
                <w:rStyle w:val="20"/>
                <w:color w:val="auto"/>
                <w:lang w:val="en-US" w:eastAsia="zh-CN" w:bidi="ar"/>
              </w:rPr>
              <w:t xml:space="preserve"> 慧</w:t>
            </w:r>
          </w:p>
        </w:tc>
        <w:tc>
          <w:tcPr>
            <w:tcW w:w="1290" w:type="dxa"/>
            <w:vAlign w:val="center"/>
          </w:tcPr>
          <w:p w14:paraId="2D64813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vAlign w:val="center"/>
          </w:tcPr>
          <w:p w14:paraId="736BEB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经济分析、清洁能源</w:t>
            </w:r>
          </w:p>
        </w:tc>
        <w:tc>
          <w:tcPr>
            <w:tcW w:w="3195" w:type="dxa"/>
            <w:shd w:val="clear" w:color="auto" w:fill="auto"/>
            <w:vAlign w:val="center"/>
          </w:tcPr>
          <w:p w14:paraId="2A9620A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vAlign w:val="center"/>
          </w:tcPr>
          <w:p w14:paraId="417961B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kern w:val="2"/>
                <w:sz w:val="21"/>
                <w:szCs w:val="21"/>
                <w:lang w:val="en-US" w:eastAsia="zh-CN" w:bidi="ar-SA"/>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1D9D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202208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黄翠莲</w:t>
            </w:r>
          </w:p>
        </w:tc>
        <w:tc>
          <w:tcPr>
            <w:tcW w:w="1290" w:type="dxa"/>
            <w:vAlign w:val="center"/>
          </w:tcPr>
          <w:p w14:paraId="620E9DD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经济师</w:t>
            </w:r>
          </w:p>
        </w:tc>
        <w:tc>
          <w:tcPr>
            <w:tcW w:w="1500" w:type="dxa"/>
            <w:vAlign w:val="center"/>
          </w:tcPr>
          <w:p w14:paraId="1066F9A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经济分析</w:t>
            </w:r>
          </w:p>
        </w:tc>
        <w:tc>
          <w:tcPr>
            <w:tcW w:w="3195" w:type="dxa"/>
            <w:shd w:val="clear" w:color="auto" w:fill="auto"/>
            <w:vAlign w:val="center"/>
          </w:tcPr>
          <w:p w14:paraId="4F89F9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广西工业促进和中小企业服务中心中小企业服务部</w:t>
            </w:r>
          </w:p>
        </w:tc>
        <w:tc>
          <w:tcPr>
            <w:tcW w:w="1745" w:type="dxa"/>
            <w:vAlign w:val="center"/>
          </w:tcPr>
          <w:p w14:paraId="7820F25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2647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0F80606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叶 </w:t>
            </w:r>
            <w:r>
              <w:rPr>
                <w:rStyle w:val="20"/>
                <w:color w:val="auto"/>
                <w:lang w:val="en-US" w:eastAsia="zh-CN" w:bidi="ar"/>
              </w:rPr>
              <w:t xml:space="preserve"> 蕾</w:t>
            </w:r>
          </w:p>
        </w:tc>
        <w:tc>
          <w:tcPr>
            <w:tcW w:w="1290" w:type="dxa"/>
            <w:vAlign w:val="center"/>
          </w:tcPr>
          <w:p w14:paraId="0A88E0F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高级工程师</w:t>
            </w:r>
          </w:p>
        </w:tc>
        <w:tc>
          <w:tcPr>
            <w:tcW w:w="1500" w:type="dxa"/>
            <w:vAlign w:val="center"/>
          </w:tcPr>
          <w:p w14:paraId="5C64893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清洁能源工程</w:t>
            </w:r>
          </w:p>
        </w:tc>
        <w:tc>
          <w:tcPr>
            <w:tcW w:w="3195" w:type="dxa"/>
            <w:shd w:val="clear" w:color="auto" w:fill="auto"/>
            <w:vAlign w:val="center"/>
          </w:tcPr>
          <w:p w14:paraId="0E254B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广西工业促进和中小企业服务中心</w:t>
            </w:r>
          </w:p>
        </w:tc>
        <w:tc>
          <w:tcPr>
            <w:tcW w:w="1745" w:type="dxa"/>
            <w:vAlign w:val="center"/>
          </w:tcPr>
          <w:p w14:paraId="7CA7F08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审核组</w:t>
            </w:r>
          </w:p>
        </w:tc>
      </w:tr>
      <w:tr w14:paraId="6699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16F0951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 xml:space="preserve">覃 </w:t>
            </w:r>
            <w:r>
              <w:rPr>
                <w:rStyle w:val="20"/>
                <w:color w:val="auto"/>
                <w:lang w:val="en-US" w:eastAsia="zh-CN" w:bidi="ar"/>
              </w:rPr>
              <w:t xml:space="preserve"> 合</w:t>
            </w:r>
          </w:p>
        </w:tc>
        <w:tc>
          <w:tcPr>
            <w:tcW w:w="1290" w:type="dxa"/>
            <w:vAlign w:val="center"/>
          </w:tcPr>
          <w:p w14:paraId="76F6854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助理工程师</w:t>
            </w:r>
          </w:p>
        </w:tc>
        <w:tc>
          <w:tcPr>
            <w:tcW w:w="1500" w:type="dxa"/>
            <w:vAlign w:val="center"/>
          </w:tcPr>
          <w:p w14:paraId="769D153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冶金工程</w:t>
            </w:r>
          </w:p>
        </w:tc>
        <w:tc>
          <w:tcPr>
            <w:tcW w:w="3195" w:type="dxa"/>
            <w:shd w:val="clear" w:color="auto" w:fill="auto"/>
            <w:vAlign w:val="center"/>
          </w:tcPr>
          <w:p w14:paraId="0DF29F9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广西致协节能技术服务有限公司</w:t>
            </w:r>
          </w:p>
        </w:tc>
        <w:tc>
          <w:tcPr>
            <w:tcW w:w="1745" w:type="dxa"/>
            <w:vAlign w:val="center"/>
          </w:tcPr>
          <w:p w14:paraId="172C0A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国标仿宋-GB / T 2312" w:hAnsi="国标仿宋-GB / T 2312" w:eastAsia="国标仿宋-GB / T 2312" w:cs="国标仿宋-GB / T 2312"/>
                <w:i w:val="0"/>
                <w:iCs w:val="0"/>
                <w:color w:val="auto"/>
                <w:kern w:val="0"/>
                <w:sz w:val="24"/>
                <w:szCs w:val="24"/>
                <w:u w:val="none"/>
                <w:lang w:val="en-US" w:eastAsia="zh-CN" w:bidi="ar"/>
              </w:rPr>
            </w:pPr>
            <w:r>
              <w:rPr>
                <w:rFonts w:hint="eastAsia" w:ascii="国标仿宋-GB / T 2312" w:hAnsi="国标仿宋-GB / T 2312" w:eastAsia="国标仿宋-GB / T 2312" w:cs="国标仿宋-GB / T 2312"/>
                <w:i w:val="0"/>
                <w:iCs w:val="0"/>
                <w:color w:val="auto"/>
                <w:kern w:val="0"/>
                <w:sz w:val="24"/>
                <w:szCs w:val="24"/>
                <w:u w:val="none"/>
                <w:lang w:val="en-US" w:eastAsia="zh-CN" w:bidi="ar"/>
              </w:rPr>
              <w:t>宣贯实施组</w:t>
            </w:r>
          </w:p>
        </w:tc>
      </w:tr>
      <w:tr w14:paraId="62E2A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763A5FB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谢永艳</w:t>
            </w:r>
          </w:p>
        </w:tc>
        <w:tc>
          <w:tcPr>
            <w:tcW w:w="1290" w:type="dxa"/>
            <w:vAlign w:val="center"/>
          </w:tcPr>
          <w:p w14:paraId="1395A6D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vAlign w:val="center"/>
          </w:tcPr>
          <w:p w14:paraId="43B04F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环境工程</w:t>
            </w:r>
          </w:p>
        </w:tc>
        <w:tc>
          <w:tcPr>
            <w:tcW w:w="3195" w:type="dxa"/>
            <w:shd w:val="clear" w:color="auto" w:fill="auto"/>
            <w:vAlign w:val="center"/>
          </w:tcPr>
          <w:p w14:paraId="5767F53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广西晨晏节能信息科技有限公司</w:t>
            </w:r>
          </w:p>
        </w:tc>
        <w:tc>
          <w:tcPr>
            <w:tcW w:w="1745" w:type="dxa"/>
            <w:vAlign w:val="center"/>
          </w:tcPr>
          <w:p w14:paraId="38D98B1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国标仿宋-GB / T 2312" w:hAnsi="国标仿宋-GB / T 2312" w:eastAsia="国标仿宋-GB / T 2312" w:cs="国标仿宋-GB / T 2312"/>
                <w:i w:val="0"/>
                <w:iCs w:val="0"/>
                <w:color w:val="auto"/>
                <w:kern w:val="0"/>
                <w:sz w:val="24"/>
                <w:szCs w:val="24"/>
                <w:u w:val="none"/>
                <w:lang w:val="en-US" w:eastAsia="zh-CN" w:bidi="ar"/>
              </w:rPr>
            </w:pPr>
            <w:r>
              <w:rPr>
                <w:rFonts w:hint="eastAsia" w:ascii="国标仿宋-GB / T 2312" w:hAnsi="国标仿宋-GB / T 2312" w:eastAsia="国标仿宋-GB / T 2312" w:cs="国标仿宋-GB / T 2312"/>
                <w:i w:val="0"/>
                <w:iCs w:val="0"/>
                <w:color w:val="auto"/>
                <w:kern w:val="0"/>
                <w:sz w:val="24"/>
                <w:szCs w:val="24"/>
                <w:u w:val="none"/>
                <w:lang w:val="en-US" w:eastAsia="zh-CN" w:bidi="ar"/>
              </w:rPr>
              <w:t>宣贯实施组</w:t>
            </w:r>
          </w:p>
        </w:tc>
      </w:tr>
      <w:tr w14:paraId="2CEB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0" w:hRule="atLeast"/>
          <w:jc w:val="center"/>
        </w:trPr>
        <w:tc>
          <w:tcPr>
            <w:tcW w:w="1123" w:type="dxa"/>
            <w:shd w:val="clear" w:color="auto" w:fill="auto"/>
            <w:vAlign w:val="center"/>
          </w:tcPr>
          <w:p w14:paraId="6069F4B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李巍苑</w:t>
            </w:r>
          </w:p>
        </w:tc>
        <w:tc>
          <w:tcPr>
            <w:tcW w:w="1290" w:type="dxa"/>
            <w:vAlign w:val="center"/>
          </w:tcPr>
          <w:p w14:paraId="1CBE45E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工程师</w:t>
            </w:r>
          </w:p>
        </w:tc>
        <w:tc>
          <w:tcPr>
            <w:tcW w:w="1500" w:type="dxa"/>
            <w:vAlign w:val="center"/>
          </w:tcPr>
          <w:p w14:paraId="3B9F45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eastAsia="zh"/>
              </w:rPr>
            </w:pPr>
            <w:r>
              <w:rPr>
                <w:rFonts w:hint="default" w:ascii="国标仿宋-GB / T 2312" w:hAnsi="国标仿宋-GB / T 2312" w:eastAsia="国标仿宋-GB / T 2312" w:cs="国标仿宋-GB / T 2312"/>
                <w:i w:val="0"/>
                <w:iCs w:val="0"/>
                <w:color w:val="auto"/>
                <w:kern w:val="0"/>
                <w:sz w:val="21"/>
                <w:szCs w:val="21"/>
                <w:u w:val="none"/>
                <w:lang w:val="en-US" w:eastAsia="zh-CN" w:bidi="ar"/>
              </w:rPr>
              <w:t>环境工程</w:t>
            </w:r>
          </w:p>
        </w:tc>
        <w:tc>
          <w:tcPr>
            <w:tcW w:w="3195" w:type="dxa"/>
            <w:shd w:val="clear" w:color="auto" w:fill="auto"/>
            <w:vAlign w:val="center"/>
          </w:tcPr>
          <w:p w14:paraId="25EAE2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仿宋_GB2312" w:cs="Times New Roman"/>
                <w:color w:val="auto"/>
                <w:sz w:val="21"/>
                <w:szCs w:val="21"/>
                <w:lang w:val="en-US" w:eastAsia="zh-CN"/>
              </w:rPr>
            </w:pPr>
            <w:r>
              <w:rPr>
                <w:rFonts w:hint="default" w:ascii="国标仿宋-GB / T 2312" w:hAnsi="国标仿宋-GB / T 2312" w:eastAsia="国标仿宋-GB / T 2312" w:cs="国标仿宋-GB / T 2312"/>
                <w:i w:val="0"/>
                <w:iCs w:val="0"/>
                <w:color w:val="auto"/>
                <w:kern w:val="0"/>
                <w:sz w:val="24"/>
                <w:szCs w:val="24"/>
                <w:u w:val="none"/>
                <w:lang w:val="en-US" w:eastAsia="zh-CN" w:bidi="ar"/>
              </w:rPr>
              <w:t>南宁市超达节能环保科技有限公司</w:t>
            </w:r>
          </w:p>
        </w:tc>
        <w:tc>
          <w:tcPr>
            <w:tcW w:w="1745" w:type="dxa"/>
            <w:vAlign w:val="center"/>
          </w:tcPr>
          <w:p w14:paraId="4C51257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国标仿宋-GB / T 2312" w:hAnsi="国标仿宋-GB / T 2312" w:eastAsia="国标仿宋-GB / T 2312" w:cs="国标仿宋-GB / T 2312"/>
                <w:i w:val="0"/>
                <w:iCs w:val="0"/>
                <w:color w:val="auto"/>
                <w:kern w:val="0"/>
                <w:sz w:val="24"/>
                <w:szCs w:val="24"/>
                <w:u w:val="none"/>
                <w:lang w:val="en-US" w:eastAsia="zh-CN" w:bidi="ar"/>
              </w:rPr>
            </w:pPr>
            <w:r>
              <w:rPr>
                <w:rFonts w:hint="eastAsia" w:ascii="国标仿宋-GB / T 2312" w:hAnsi="国标仿宋-GB / T 2312" w:eastAsia="国标仿宋-GB / T 2312" w:cs="国标仿宋-GB / T 2312"/>
                <w:i w:val="0"/>
                <w:iCs w:val="0"/>
                <w:color w:val="auto"/>
                <w:kern w:val="0"/>
                <w:sz w:val="24"/>
                <w:szCs w:val="24"/>
                <w:u w:val="none"/>
                <w:lang w:val="en-US" w:eastAsia="zh-CN" w:bidi="ar"/>
              </w:rPr>
              <w:t>宣贯实施组</w:t>
            </w:r>
          </w:p>
        </w:tc>
      </w:tr>
    </w:tbl>
    <w:p w14:paraId="241C1E53">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Fonts w:hint="default"/>
          <w:color w:val="auto"/>
          <w:lang w:val="en-US" w:eastAsia="zh-CN"/>
        </w:rPr>
      </w:pPr>
    </w:p>
    <w:p w14:paraId="5597B68B">
      <w:pPr>
        <w:pStyle w:val="3"/>
        <w:keepNext w:val="0"/>
        <w:keepLines w:val="0"/>
        <w:pageBreakBefore w:val="0"/>
        <w:numPr>
          <w:ilvl w:val="0"/>
          <w:numId w:val="4"/>
        </w:numPr>
        <w:kinsoku/>
        <w:wordWrap/>
        <w:bidi w:val="0"/>
        <w:snapToGrid/>
        <w:spacing w:after="0" w:line="578" w:lineRule="exact"/>
        <w:textAlignment w:val="auto"/>
        <w:rPr>
          <w:color w:val="auto"/>
        </w:rPr>
      </w:pPr>
      <w:r>
        <w:rPr>
          <w:rFonts w:hint="eastAsia" w:ascii="宋体" w:hAnsi="宋体" w:eastAsia="黑体" w:cs="宋体"/>
          <w:bCs/>
          <w:color w:val="auto"/>
          <w:kern w:val="0"/>
          <w:sz w:val="32"/>
          <w:szCs w:val="36"/>
          <w:lang w:val="en-US" w:eastAsia="zh-CN" w:bidi="ar"/>
        </w:rPr>
        <w:t>制定标准的必要性和意义</w:t>
      </w:r>
    </w:p>
    <w:p w14:paraId="59FD154D">
      <w:pPr>
        <w:keepNext w:val="0"/>
        <w:keepLines w:val="0"/>
        <w:pageBreakBefore w:val="0"/>
        <w:kinsoku/>
        <w:wordWrap/>
        <w:bidi w:val="0"/>
        <w:snapToGrid/>
        <w:spacing w:line="578" w:lineRule="exact"/>
        <w:ind w:firstLine="640" w:firstLineChars="200"/>
        <w:jc w:val="both"/>
        <w:textAlignment w:val="auto"/>
        <w:rPr>
          <w:rFonts w:hint="eastAsia" w:ascii="宋体" w:hAnsi="宋体"/>
          <w:bCs/>
          <w:color w:val="auto"/>
          <w:highlight w:val="none"/>
        </w:rPr>
      </w:pPr>
      <w:r>
        <w:rPr>
          <w:rFonts w:hint="eastAsia" w:ascii="宋体" w:hAnsi="宋体"/>
          <w:bCs/>
          <w:color w:val="auto"/>
          <w:highlight w:val="none"/>
        </w:rPr>
        <w:t>节能降碳是积极稳妥推进碳达峰碳中和、全面推进美丽中国建设、促进经济社会发展全面绿色转型的重要举措，工业领域作为能源消耗和碳排放的核心领域，其节能技术改造是实现“十</w:t>
      </w:r>
      <w:r>
        <w:rPr>
          <w:rFonts w:hint="eastAsia" w:ascii="宋体" w:hAnsi="宋体"/>
          <w:bCs/>
          <w:color w:val="auto"/>
          <w:highlight w:val="none"/>
          <w:lang w:eastAsia="zh-CN"/>
        </w:rPr>
        <w:t>五</w:t>
      </w:r>
      <w:r>
        <w:rPr>
          <w:rFonts w:hint="eastAsia" w:ascii="宋体" w:hAnsi="宋体"/>
          <w:bCs/>
          <w:color w:val="auto"/>
          <w:highlight w:val="none"/>
        </w:rPr>
        <w:t>五”节能降碳约束性指标的关键抓手，更是推动工业绿色低碳高质量发展的核心路径。</w:t>
      </w:r>
    </w:p>
    <w:p w14:paraId="153093CB">
      <w:pPr>
        <w:keepNext w:val="0"/>
        <w:keepLines w:val="0"/>
        <w:pageBreakBefore w:val="0"/>
        <w:kinsoku/>
        <w:wordWrap/>
        <w:bidi w:val="0"/>
        <w:snapToGrid/>
        <w:spacing w:line="578" w:lineRule="exact"/>
        <w:ind w:firstLine="640" w:firstLineChars="200"/>
        <w:jc w:val="both"/>
        <w:textAlignment w:val="auto"/>
        <w:rPr>
          <w:rFonts w:hint="eastAsia" w:ascii="宋体" w:hAnsi="宋体"/>
          <w:bCs/>
          <w:color w:val="auto"/>
          <w:highlight w:val="none"/>
        </w:rPr>
      </w:pPr>
      <w:r>
        <w:rPr>
          <w:rFonts w:hint="eastAsia" w:ascii="宋体" w:hAnsi="宋体"/>
          <w:bCs/>
          <w:color w:val="auto"/>
          <w:highlight w:val="none"/>
          <w:lang w:val="en-US" w:eastAsia="zh-CN"/>
        </w:rPr>
        <w:t>当前，我国已发布GB/T 28750《节能量测量和验证技术通则》等国家标准，为节能量计算提供了基础遵循，但该标准适用范围较广，侧重通用计算原则和方法，未针对工业节能技术改造项目的特殊性、专业性作出针对性规定。工业节能技术改造项目涵盖钢铁、建材、石化等多个行业，涉及工艺优化、设备更新、余热回收等多种改造类型，不同项目的基准期确定、统计报告期确定、节能量确定原则等存在显著差异，现有通用标准难以完全适配各类工业技改项目的个性化计算需求，导致实践中存在节能量计算方法不统一、边界界定模糊、数据处理不规范等问题，部分项目出现计算结果偏差较大、可比性不足的情况，既影响了节能技改项目效果的科学评估，也给政策补贴发放、碳排放核算等相关工作带来不便。</w:t>
      </w:r>
    </w:p>
    <w:p w14:paraId="3C0D977E">
      <w:pPr>
        <w:keepNext w:val="0"/>
        <w:keepLines w:val="0"/>
        <w:pageBreakBefore w:val="0"/>
        <w:kinsoku/>
        <w:wordWrap/>
        <w:bidi w:val="0"/>
        <w:snapToGrid/>
        <w:spacing w:line="578" w:lineRule="exact"/>
        <w:ind w:firstLine="640" w:firstLineChars="200"/>
        <w:jc w:val="both"/>
        <w:textAlignment w:val="auto"/>
        <w:rPr>
          <w:rFonts w:hint="eastAsia" w:ascii="宋体" w:hAnsi="宋体"/>
          <w:bCs/>
          <w:color w:val="auto"/>
          <w:highlight w:val="none"/>
          <w:lang w:eastAsia="zh-CN"/>
        </w:rPr>
      </w:pPr>
      <w:r>
        <w:rPr>
          <w:rFonts w:hint="eastAsia" w:ascii="宋体" w:hAnsi="宋体"/>
          <w:bCs/>
          <w:color w:val="auto"/>
          <w:highlight w:val="none"/>
        </w:rPr>
        <w:t>随着工业节能技术的快速迭代和技改项目的规模化推进，企业、节能服务机构、行业管理部门对专项节能量计算标准的需求日益迫切。为填补现有标准在工业节能技术改造项目节能量计算领域的专项空白，解决实践中存在的核算不规范、结果不可比等突出问题，统一计算原则、方法和流程，提升节能量计算的科学性、准确性和可操作性，更好地服务于工业节能降碳工作，助力“十</w:t>
      </w:r>
      <w:r>
        <w:rPr>
          <w:rFonts w:hint="eastAsia" w:ascii="宋体" w:hAnsi="宋体"/>
          <w:bCs/>
          <w:color w:val="auto"/>
          <w:highlight w:val="none"/>
          <w:lang w:eastAsia="zh-CN"/>
        </w:rPr>
        <w:t>五</w:t>
      </w:r>
      <w:r>
        <w:rPr>
          <w:rFonts w:hint="eastAsia" w:ascii="宋体" w:hAnsi="宋体"/>
          <w:bCs/>
          <w:color w:val="auto"/>
          <w:highlight w:val="none"/>
        </w:rPr>
        <w:t xml:space="preserve">五”节能降碳目标实现，依据相关国家政策要求和行业发展实际，参考GB/T </w:t>
      </w:r>
      <w:r>
        <w:rPr>
          <w:rFonts w:hint="eastAsia" w:ascii="宋体" w:hAnsi="宋体"/>
          <w:bCs/>
          <w:color w:val="auto"/>
          <w:highlight w:val="none"/>
          <w:lang w:val="en-US" w:eastAsia="zh-CN"/>
        </w:rPr>
        <w:t>2589</w:t>
      </w:r>
      <w:r>
        <w:rPr>
          <w:rFonts w:hint="eastAsia" w:ascii="宋体" w:hAnsi="宋体"/>
          <w:bCs/>
          <w:color w:val="auto"/>
          <w:highlight w:val="none"/>
        </w:rPr>
        <w:t>《综合能耗计算通则》、GB/T 28750《节能量测量和验证技术通则》等相关标准，特提出编制团体标准《工业节能技术改造项目节能量计算规范》的任务，通过标准的制定与实施，规范工业节能技改项目节能量计算行为，为行业发展提供技术支撑，推动工业领域节能降碳工作高质量开展。</w:t>
      </w:r>
    </w:p>
    <w:p w14:paraId="50CE4D82">
      <w:pPr>
        <w:keepNext w:val="0"/>
        <w:keepLines w:val="0"/>
        <w:pageBreakBefore w:val="0"/>
        <w:kinsoku/>
        <w:wordWrap/>
        <w:bidi w:val="0"/>
        <w:snapToGrid/>
        <w:spacing w:line="578" w:lineRule="exact"/>
        <w:ind w:firstLine="640" w:firstLineChars="200"/>
        <w:jc w:val="both"/>
        <w:textAlignment w:val="auto"/>
        <w:rPr>
          <w:rFonts w:hint="eastAsia" w:ascii="宋体" w:hAnsi="宋体"/>
          <w:bCs/>
          <w:color w:val="auto"/>
          <w:highlight w:val="none"/>
          <w:lang w:eastAsia="zh-CN"/>
        </w:rPr>
      </w:pPr>
      <w:r>
        <w:rPr>
          <w:rFonts w:hint="eastAsia" w:ascii="宋体" w:hAnsi="宋体"/>
          <w:bCs/>
          <w:color w:val="auto"/>
          <w:highlight w:val="none"/>
          <w:lang w:val="en-US" w:eastAsia="zh-CN"/>
        </w:rPr>
        <w:t>结合国家政策导向、行业发展现状和市场实际需求，制定本标准具有迫切且重要的必要性，具体体现在：</w:t>
      </w:r>
      <w:r>
        <w:rPr>
          <w:rFonts w:hint="eastAsia" w:ascii="宋体" w:hAnsi="宋体"/>
          <w:bCs/>
          <w:color w:val="auto"/>
          <w:highlight w:val="none"/>
          <w:lang w:eastAsia="zh-CN"/>
        </w:rPr>
        <w:t>一是响应国家政策号召，助力“双碳”目标实现。工业是能源消耗和碳排放重点领域，节能技改是节能降碳关键举措。目前工业节能技改项目节能量计算缺乏统一细化规范，导致核算方法差异大，影响政策实施效果与公信力，制定本标准是落实国家能耗双控政策、助力“双碳”目标的迫切需要。二是规范行业发展，提高节能改造项目质量。当前市场上节能技改项目节能量核算方法混乱，存在核算不准确、虚报夸大等问题，挫伤企业改造积极性、干扰市场秩序。本标准明确核算原则、方法、流程等要求，可为项目实施与评估提供科学依据，规范行业发展、提升项目质量。三是满足市场需求，促进节能服务产业发展。节能服务产业是工业节能的重要力量，当前市场对统一规范的节能量计算标准需求迫切。本标准可填补市场空白，为节能服务企业提供技术指引，提升核算透明度与可信度，增强市场认可度，推动节能服务产业健康有序发展。</w:t>
      </w:r>
    </w:p>
    <w:p w14:paraId="64C5D9CC">
      <w:pPr>
        <w:pStyle w:val="3"/>
        <w:keepNext w:val="0"/>
        <w:keepLines w:val="0"/>
        <w:pageBreakBefore w:val="0"/>
        <w:numPr>
          <w:ilvl w:val="0"/>
          <w:numId w:val="4"/>
        </w:numPr>
        <w:kinsoku/>
        <w:wordWrap/>
        <w:bidi w:val="0"/>
        <w:snapToGrid/>
        <w:spacing w:after="0" w:line="578" w:lineRule="exact"/>
        <w:textAlignment w:val="auto"/>
        <w:rPr>
          <w:color w:val="auto"/>
        </w:rPr>
      </w:pPr>
      <w:r>
        <w:rPr>
          <w:color w:val="auto"/>
        </w:rPr>
        <w:t>标准编制过程</w:t>
      </w:r>
    </w:p>
    <w:p w14:paraId="5CB76537">
      <w:pPr>
        <w:pStyle w:val="4"/>
        <w:keepNext w:val="0"/>
        <w:keepLines w:val="0"/>
        <w:pageBreakBefore w:val="0"/>
        <w:kinsoku/>
        <w:wordWrap/>
        <w:bidi w:val="0"/>
        <w:snapToGrid/>
        <w:spacing w:after="0" w:line="578" w:lineRule="exact"/>
        <w:textAlignment w:val="auto"/>
        <w:rPr>
          <w:rFonts w:hint="eastAsia"/>
          <w:color w:val="auto"/>
        </w:rPr>
      </w:pPr>
      <w:r>
        <w:rPr>
          <w:rFonts w:hint="eastAsia"/>
          <w:color w:val="auto"/>
        </w:rPr>
        <w:t>（一）成立标准编制工作组</w:t>
      </w:r>
    </w:p>
    <w:p w14:paraId="5D70AE98">
      <w:pPr>
        <w:keepNext w:val="0"/>
        <w:keepLines w:val="0"/>
        <w:pageBreakBefore w:val="0"/>
        <w:kinsoku/>
        <w:wordWrap/>
        <w:bidi w:val="0"/>
        <w:snapToGrid/>
        <w:spacing w:line="578" w:lineRule="exact"/>
        <w:textAlignment w:val="auto"/>
        <w:rPr>
          <w:color w:val="auto"/>
        </w:rPr>
      </w:pPr>
      <w:r>
        <w:rPr>
          <w:rFonts w:hint="eastAsia"/>
          <w:color w:val="auto"/>
        </w:rPr>
        <w:t>团体标准《工业节能技术改造项目节能量计算规范》项目任务下达后，广西壮族自治区</w:t>
      </w:r>
      <w:r>
        <w:rPr>
          <w:rFonts w:hint="eastAsia"/>
          <w:color w:val="auto"/>
          <w:lang w:val="en-US" w:eastAsia="zh-CN"/>
        </w:rPr>
        <w:t>工业促进和中小企业服务中心于</w:t>
      </w:r>
      <w:r>
        <w:rPr>
          <w:rFonts w:ascii="Times New Roman" w:hAnsi="Times New Roman" w:cs="Times New Roman"/>
          <w:color w:val="auto"/>
        </w:rPr>
        <w:t>20</w:t>
      </w:r>
      <w:r>
        <w:rPr>
          <w:rFonts w:hint="default" w:ascii="Times New Roman" w:hAnsi="Times New Roman" w:cs="Times New Roman"/>
          <w:color w:val="auto"/>
          <w:lang w:val="en-US" w:eastAsia="zh-CN"/>
        </w:rPr>
        <w:t>25</w:t>
      </w:r>
      <w:r>
        <w:rPr>
          <w:rFonts w:ascii="Times New Roman" w:hAnsi="Times New Roman" w:cs="Times New Roman"/>
          <w:color w:val="auto"/>
        </w:rPr>
        <w:t>年</w:t>
      </w:r>
      <w:r>
        <w:rPr>
          <w:rFonts w:hint="default" w:ascii="Times New Roman" w:hAnsi="Times New Roman" w:cs="Times New Roman"/>
          <w:color w:val="auto"/>
          <w:lang w:val="en-US" w:eastAsia="zh-CN"/>
        </w:rPr>
        <w:t>9</w:t>
      </w:r>
      <w:r>
        <w:rPr>
          <w:rFonts w:ascii="Times New Roman" w:hAnsi="Times New Roman" w:cs="Times New Roman"/>
          <w:color w:val="auto"/>
        </w:rPr>
        <w:t>月</w:t>
      </w:r>
      <w:r>
        <w:rPr>
          <w:rFonts w:hint="default" w:ascii="Times New Roman" w:hAnsi="Times New Roman" w:cs="Times New Roman"/>
          <w:color w:val="auto"/>
          <w:lang w:val="en-US" w:eastAsia="zh-CN"/>
        </w:rPr>
        <w:t>2</w:t>
      </w:r>
      <w:r>
        <w:rPr>
          <w:rFonts w:hint="default" w:ascii="Times New Roman" w:hAnsi="Times New Roman" w:cs="Times New Roman"/>
          <w:color w:val="auto"/>
          <w:highlight w:val="none"/>
          <w:lang w:val="en-US" w:eastAsia="zh-CN"/>
        </w:rPr>
        <w:t>5</w:t>
      </w:r>
      <w:r>
        <w:rPr>
          <w:rFonts w:ascii="Times New Roman" w:hAnsi="Times New Roman" w:cs="Times New Roman"/>
          <w:color w:val="auto"/>
          <w:highlight w:val="none"/>
        </w:rPr>
        <w:t>日</w:t>
      </w:r>
      <w:r>
        <w:rPr>
          <w:rFonts w:hint="eastAsia"/>
          <w:color w:val="auto"/>
          <w:lang w:val="en-US" w:eastAsia="zh-CN"/>
        </w:rPr>
        <w:t>召集参编单位</w:t>
      </w:r>
      <w:r>
        <w:rPr>
          <w:rFonts w:ascii="Times New Roman" w:hAnsi="Times New Roman" w:cs="Times New Roman"/>
          <w:color w:val="auto"/>
        </w:rPr>
        <w:t>在南宁市召开</w:t>
      </w:r>
      <w:r>
        <w:rPr>
          <w:rFonts w:hint="eastAsia" w:ascii="Times New Roman" w:hAnsi="Times New Roman" w:cs="Times New Roman"/>
          <w:color w:val="auto"/>
          <w:lang w:eastAsia="zh-CN"/>
        </w:rPr>
        <w:t>了</w:t>
      </w:r>
      <w:r>
        <w:rPr>
          <w:rFonts w:ascii="Times New Roman" w:hAnsi="Times New Roman" w:cs="Times New Roman"/>
          <w:color w:val="auto"/>
        </w:rPr>
        <w:t>编制组成立暨第一次工作会议</w:t>
      </w:r>
      <w:r>
        <w:rPr>
          <w:rFonts w:hint="eastAsia"/>
          <w:color w:val="auto"/>
          <w:lang w:val="en-US" w:eastAsia="zh-CN"/>
        </w:rPr>
        <w:t>，会上主编单位介绍了编制工作准备情况，与参编单位讨论了编制思路、编制背景，</w:t>
      </w:r>
      <w:r>
        <w:rPr>
          <w:rFonts w:hint="eastAsia"/>
          <w:color w:val="auto"/>
        </w:rPr>
        <w:t>成立了编制工作组，</w:t>
      </w:r>
      <w:r>
        <w:rPr>
          <w:rFonts w:hint="eastAsia"/>
          <w:color w:val="auto"/>
          <w:lang w:val="en-US" w:eastAsia="zh-CN"/>
        </w:rPr>
        <w:t>确定</w:t>
      </w:r>
      <w:r>
        <w:rPr>
          <w:rFonts w:hint="eastAsia"/>
          <w:color w:val="auto"/>
        </w:rPr>
        <w:t>了起草编写方案与进度安排，具体标准编制工作由</w:t>
      </w:r>
      <w:r>
        <w:rPr>
          <w:rFonts w:hint="eastAsia"/>
          <w:color w:val="auto"/>
          <w:lang w:val="en-US" w:eastAsia="zh-CN"/>
        </w:rPr>
        <w:t>起草</w:t>
      </w:r>
      <w:r>
        <w:rPr>
          <w:rFonts w:hint="eastAsia"/>
          <w:color w:val="auto"/>
        </w:rPr>
        <w:t>单位相关人员配合完成。</w:t>
      </w:r>
    </w:p>
    <w:p w14:paraId="537E574E">
      <w:pPr>
        <w:keepNext w:val="0"/>
        <w:keepLines w:val="0"/>
        <w:pageBreakBefore w:val="0"/>
        <w:kinsoku/>
        <w:wordWrap/>
        <w:bidi w:val="0"/>
        <w:snapToGrid/>
        <w:spacing w:line="578" w:lineRule="exact"/>
        <w:textAlignment w:val="auto"/>
        <w:rPr>
          <w:color w:val="auto"/>
        </w:rPr>
      </w:pPr>
      <w:r>
        <w:rPr>
          <w:rFonts w:hint="eastAsia"/>
          <w:color w:val="auto"/>
        </w:rPr>
        <w:t>为了明确标准编制的任务职责，确定工作技术路线，编制工作组下设三个</w:t>
      </w:r>
      <w:r>
        <w:rPr>
          <w:rFonts w:hint="eastAsia"/>
          <w:color w:val="auto"/>
          <w:lang w:val="en-US" w:eastAsia="zh-CN"/>
        </w:rPr>
        <w:t>工作小</w:t>
      </w:r>
      <w:r>
        <w:rPr>
          <w:rFonts w:hint="eastAsia"/>
          <w:color w:val="auto"/>
        </w:rPr>
        <w:t>组，分别是</w:t>
      </w:r>
      <w:r>
        <w:rPr>
          <w:rFonts w:hint="eastAsia"/>
          <w:color w:val="auto"/>
          <w:lang w:val="en-US" w:eastAsia="zh-CN"/>
        </w:rPr>
        <w:t>草案编写</w:t>
      </w:r>
      <w:r>
        <w:rPr>
          <w:rFonts w:hint="eastAsia"/>
          <w:color w:val="auto"/>
        </w:rPr>
        <w:t>组、</w:t>
      </w:r>
      <w:r>
        <w:rPr>
          <w:rFonts w:hint="eastAsia"/>
          <w:color w:val="auto"/>
          <w:lang w:val="en-US" w:eastAsia="zh-CN"/>
        </w:rPr>
        <w:t>审核</w:t>
      </w:r>
      <w:r>
        <w:rPr>
          <w:rFonts w:hint="eastAsia"/>
          <w:color w:val="auto"/>
        </w:rPr>
        <w:t>组、</w:t>
      </w:r>
      <w:r>
        <w:rPr>
          <w:rFonts w:hint="eastAsia"/>
          <w:color w:val="auto"/>
          <w:lang w:eastAsia="zh-CN"/>
        </w:rPr>
        <w:t>宣贯实施组</w:t>
      </w:r>
      <w:r>
        <w:rPr>
          <w:rFonts w:hint="eastAsia"/>
          <w:color w:val="auto"/>
        </w:rPr>
        <w:t>。</w:t>
      </w:r>
    </w:p>
    <w:p w14:paraId="10642048">
      <w:pPr>
        <w:keepNext w:val="0"/>
        <w:keepLines w:val="0"/>
        <w:pageBreakBefore w:val="0"/>
        <w:kinsoku/>
        <w:wordWrap/>
        <w:bidi w:val="0"/>
        <w:snapToGrid/>
        <w:spacing w:line="578" w:lineRule="exact"/>
        <w:textAlignment w:val="auto"/>
        <w:rPr>
          <w:rFonts w:hint="eastAsia"/>
          <w:color w:val="auto"/>
        </w:rPr>
      </w:pPr>
      <w:r>
        <w:rPr>
          <w:rFonts w:hint="eastAsia"/>
          <w:color w:val="auto"/>
        </w:rPr>
        <w:t>草案编写组负责起草标准草案及后续征求意见稿和标准编制说明、送审稿及编制说明等编写工作，包括后期召开征求意见会、网上征求意见，以及标准的不断修改和完善。</w:t>
      </w:r>
    </w:p>
    <w:p w14:paraId="077E6715">
      <w:pPr>
        <w:keepNext w:val="0"/>
        <w:keepLines w:val="0"/>
        <w:pageBreakBefore w:val="0"/>
        <w:kinsoku/>
        <w:wordWrap/>
        <w:bidi w:val="0"/>
        <w:snapToGrid/>
        <w:spacing w:line="578" w:lineRule="exact"/>
        <w:textAlignment w:val="auto"/>
        <w:rPr>
          <w:color w:val="auto"/>
        </w:rPr>
      </w:pPr>
      <w:r>
        <w:rPr>
          <w:rFonts w:hint="eastAsia"/>
          <w:color w:val="auto"/>
          <w:lang w:val="en-US" w:eastAsia="zh-CN"/>
        </w:rPr>
        <w:t>审核</w:t>
      </w:r>
      <w:r>
        <w:rPr>
          <w:rFonts w:hint="eastAsia"/>
          <w:color w:val="auto"/>
        </w:rPr>
        <w:t>组负责节能量计算相关文献资料的查询、收集和整理工作。</w:t>
      </w:r>
      <w:r>
        <w:rPr>
          <w:rFonts w:hint="eastAsia"/>
          <w:color w:val="auto"/>
          <w:lang w:val="en-US" w:eastAsia="zh-CN"/>
        </w:rPr>
        <w:t>核对标准草案与现行法律法规的关系，与有关国家标准、行业标准的协调情况。</w:t>
      </w:r>
    </w:p>
    <w:p w14:paraId="1EFAE6E8">
      <w:pPr>
        <w:keepNext w:val="0"/>
        <w:keepLines w:val="0"/>
        <w:pageBreakBefore w:val="0"/>
        <w:kinsoku/>
        <w:wordWrap/>
        <w:bidi w:val="0"/>
        <w:snapToGrid/>
        <w:spacing w:line="578" w:lineRule="exact"/>
        <w:textAlignment w:val="auto"/>
        <w:rPr>
          <w:rFonts w:hint="eastAsia"/>
          <w:color w:val="auto"/>
          <w:lang w:val="en-US" w:eastAsia="zh-CN"/>
        </w:rPr>
      </w:pPr>
      <w:r>
        <w:rPr>
          <w:rFonts w:hint="eastAsia"/>
          <w:color w:val="auto"/>
          <w:lang w:val="en-US" w:eastAsia="zh-CN"/>
        </w:rPr>
        <w:t>宣贯实施组负责在团体标准《工业节能技术改造项目节能量计算规范》发布后，组织相关单位举办标准宣贯培训会。在培训会上对该标准进行详细解读，使相关人员了解此标准，并依据标准对工业节能技术改造项目节能量计算操作。同时，对标准实施情况进行总结分析，持续为标准提出修正建议。</w:t>
      </w:r>
    </w:p>
    <w:p w14:paraId="74097B1B">
      <w:pPr>
        <w:pStyle w:val="4"/>
        <w:keepNext w:val="0"/>
        <w:keepLines w:val="0"/>
        <w:pageBreakBefore w:val="0"/>
        <w:kinsoku/>
        <w:wordWrap/>
        <w:bidi w:val="0"/>
        <w:snapToGrid/>
        <w:spacing w:after="0" w:line="578" w:lineRule="exact"/>
        <w:textAlignment w:val="auto"/>
        <w:rPr>
          <w:rFonts w:hint="eastAsia"/>
          <w:color w:val="auto"/>
          <w:lang w:val="en-US" w:eastAsia="zh-CN"/>
        </w:rPr>
      </w:pPr>
      <w:r>
        <w:rPr>
          <w:rFonts w:hint="eastAsia"/>
          <w:color w:val="auto"/>
          <w:lang w:val="en-US" w:eastAsia="zh-CN"/>
        </w:rPr>
        <w:t>（二）收集整理文献资料</w:t>
      </w:r>
    </w:p>
    <w:p w14:paraId="06E43BB0">
      <w:pPr>
        <w:pStyle w:val="4"/>
        <w:keepNext w:val="0"/>
        <w:keepLines w:val="0"/>
        <w:pageBreakBefore w:val="0"/>
        <w:kinsoku/>
        <w:wordWrap/>
        <w:bidi w:val="0"/>
        <w:snapToGrid/>
        <w:spacing w:after="0" w:line="578" w:lineRule="exact"/>
        <w:textAlignment w:val="auto"/>
        <w:rPr>
          <w:rFonts w:hint="eastAsia" w:eastAsia="仿宋_GB2312" w:asciiTheme="minorAscii" w:hAnsiTheme="minorAscii" w:cstheme="minorBidi"/>
          <w:bCs w:val="0"/>
          <w:color w:val="auto"/>
          <w:kern w:val="2"/>
          <w:sz w:val="32"/>
          <w:szCs w:val="24"/>
          <w:lang w:val="en-US" w:eastAsia="zh-CN" w:bidi="ar-SA"/>
        </w:rPr>
      </w:pPr>
      <w:r>
        <w:rPr>
          <w:rFonts w:hint="eastAsia" w:eastAsia="仿宋_GB2312" w:asciiTheme="minorAscii" w:hAnsiTheme="minorAscii" w:cstheme="minorBidi"/>
          <w:bCs w:val="0"/>
          <w:color w:val="auto"/>
          <w:kern w:val="2"/>
          <w:sz w:val="32"/>
          <w:szCs w:val="24"/>
          <w:lang w:val="en-US" w:eastAsia="zh-CN" w:bidi="ar-SA"/>
        </w:rPr>
        <w:t>标准审核组收集了国内有关节能量计算的相关文献资料。主要有：</w:t>
      </w:r>
    </w:p>
    <w:p w14:paraId="1ABE6DA0">
      <w:pPr>
        <w:pStyle w:val="4"/>
        <w:keepNext w:val="0"/>
        <w:keepLines w:val="0"/>
        <w:pageBreakBefore w:val="0"/>
        <w:kinsoku/>
        <w:wordWrap/>
        <w:bidi w:val="0"/>
        <w:snapToGrid/>
        <w:spacing w:after="0" w:line="578" w:lineRule="exact"/>
        <w:textAlignment w:val="auto"/>
        <w:rPr>
          <w:rFonts w:hint="default" w:ascii="Times New Roman" w:hAnsi="Times New Roman" w:eastAsia="仿宋_GB2312" w:cs="Times New Roman"/>
          <w:bCs w:val="0"/>
          <w:color w:val="auto"/>
          <w:kern w:val="2"/>
          <w:sz w:val="32"/>
          <w:szCs w:val="24"/>
          <w:lang w:val="en-US" w:eastAsia="zh-CN" w:bidi="ar-SA"/>
        </w:rPr>
      </w:pPr>
      <w:r>
        <w:rPr>
          <w:rFonts w:hint="default" w:ascii="Times New Roman" w:hAnsi="Times New Roman" w:eastAsia="仿宋_GB2312" w:cs="Times New Roman"/>
          <w:bCs w:val="0"/>
          <w:color w:val="auto"/>
          <w:kern w:val="2"/>
          <w:sz w:val="32"/>
          <w:szCs w:val="24"/>
          <w:lang w:val="en-US" w:eastAsia="zh-CN" w:bidi="ar-SA"/>
        </w:rPr>
        <w:t>GB/T 2589  综合能耗计算通则</w:t>
      </w:r>
    </w:p>
    <w:p w14:paraId="5B838164">
      <w:pPr>
        <w:pStyle w:val="4"/>
        <w:keepNext w:val="0"/>
        <w:keepLines w:val="0"/>
        <w:pageBreakBefore w:val="0"/>
        <w:kinsoku/>
        <w:wordWrap/>
        <w:bidi w:val="0"/>
        <w:snapToGrid/>
        <w:spacing w:after="0" w:line="578" w:lineRule="exact"/>
        <w:textAlignment w:val="auto"/>
        <w:rPr>
          <w:rFonts w:hint="default" w:ascii="Times New Roman" w:hAnsi="Times New Roman" w:eastAsia="仿宋_GB2312" w:cs="Times New Roman"/>
          <w:bCs w:val="0"/>
          <w:color w:val="auto"/>
          <w:kern w:val="2"/>
          <w:sz w:val="32"/>
          <w:szCs w:val="24"/>
          <w:lang w:val="en-US" w:eastAsia="zh-CN" w:bidi="ar-SA"/>
        </w:rPr>
      </w:pPr>
      <w:r>
        <w:rPr>
          <w:rFonts w:hint="default" w:ascii="Times New Roman" w:hAnsi="Times New Roman" w:eastAsia="仿宋_GB2312" w:cs="Times New Roman"/>
          <w:bCs w:val="0"/>
          <w:color w:val="auto"/>
          <w:kern w:val="2"/>
          <w:sz w:val="32"/>
          <w:szCs w:val="24"/>
          <w:lang w:val="en-US" w:eastAsia="zh-CN" w:bidi="ar-SA"/>
        </w:rPr>
        <w:t>GB/T 28750  节能量测量和验证技术通则</w:t>
      </w:r>
    </w:p>
    <w:p w14:paraId="71B5F0AE">
      <w:pPr>
        <w:rPr>
          <w:rFonts w:hint="default" w:ascii="Times New Roman" w:hAnsi="Times New Roman" w:cs="Times New Roman"/>
          <w:bCs w:val="0"/>
          <w:color w:val="auto"/>
          <w:kern w:val="2"/>
          <w:sz w:val="32"/>
          <w:szCs w:val="24"/>
          <w:lang w:val="en-US" w:eastAsia="zh-CN" w:bidi="ar-SA"/>
        </w:rPr>
      </w:pPr>
      <w:r>
        <w:rPr>
          <w:rFonts w:hint="eastAsia" w:ascii="Times New Roman" w:hAnsi="Times New Roman" w:cs="Times New Roman"/>
          <w:bCs w:val="0"/>
          <w:color w:val="auto"/>
          <w:kern w:val="2"/>
          <w:sz w:val="32"/>
          <w:szCs w:val="24"/>
          <w:lang w:val="en-US" w:eastAsia="zh-CN" w:bidi="ar-SA"/>
        </w:rPr>
        <w:t>DB11/T 1641-2024  节能技术改造项目节能量审核指南</w:t>
      </w:r>
    </w:p>
    <w:p w14:paraId="1C42135C">
      <w:pPr>
        <w:pStyle w:val="4"/>
        <w:keepNext w:val="0"/>
        <w:keepLines w:val="0"/>
        <w:pageBreakBefore w:val="0"/>
        <w:kinsoku/>
        <w:wordWrap/>
        <w:bidi w:val="0"/>
        <w:snapToGrid/>
        <w:spacing w:after="0" w:line="578" w:lineRule="exact"/>
        <w:textAlignment w:val="auto"/>
        <w:rPr>
          <w:rFonts w:hint="eastAsia" w:ascii="Times New Roman" w:hAnsi="Times New Roman" w:eastAsia="仿宋_GB2312" w:cs="Times New Roman"/>
          <w:bCs w:val="0"/>
          <w:color w:val="auto"/>
          <w:kern w:val="2"/>
          <w:sz w:val="32"/>
          <w:szCs w:val="24"/>
          <w:lang w:val="en-US" w:eastAsia="zh-CN" w:bidi="ar-SA"/>
        </w:rPr>
      </w:pPr>
      <w:r>
        <w:rPr>
          <w:rFonts w:hint="eastAsia" w:ascii="Times New Roman" w:hAnsi="Times New Roman" w:eastAsia="仿宋_GB2312" w:cs="Times New Roman"/>
          <w:bCs w:val="0"/>
          <w:color w:val="auto"/>
          <w:kern w:val="2"/>
          <w:sz w:val="32"/>
          <w:szCs w:val="24"/>
          <w:lang w:val="en-US" w:eastAsia="zh-CN" w:bidi="ar-SA"/>
        </w:rPr>
        <w:t>T/GXAS 549  工业技术改造固定资产投资项目节能报告编制规范</w:t>
      </w:r>
    </w:p>
    <w:p w14:paraId="31813C7F">
      <w:pPr>
        <w:rPr>
          <w:rFonts w:hint="eastAsia" w:ascii="Times New Roman" w:hAnsi="Times New Roman" w:cs="Times New Roman"/>
          <w:bCs w:val="0"/>
          <w:color w:val="auto"/>
          <w:kern w:val="2"/>
          <w:sz w:val="32"/>
          <w:szCs w:val="24"/>
          <w:lang w:val="en-US" w:eastAsia="zh-CN" w:bidi="ar-SA"/>
        </w:rPr>
      </w:pPr>
      <w:r>
        <w:rPr>
          <w:rFonts w:hint="eastAsia" w:ascii="Times New Roman" w:hAnsi="Times New Roman" w:cs="Times New Roman"/>
          <w:bCs w:val="0"/>
          <w:color w:val="auto"/>
          <w:kern w:val="2"/>
          <w:sz w:val="32"/>
          <w:szCs w:val="24"/>
          <w:lang w:val="en-US" w:eastAsia="zh-CN" w:bidi="ar-SA"/>
        </w:rPr>
        <w:t>节能量计算方法及审核指南（国家节能中心编）</w:t>
      </w:r>
    </w:p>
    <w:p w14:paraId="06B0E5B9">
      <w:pPr>
        <w:rPr>
          <w:rFonts w:hint="eastAsia" w:ascii="Times New Roman" w:hAnsi="Times New Roman" w:cs="Times New Roman"/>
          <w:bCs w:val="0"/>
          <w:color w:val="auto"/>
          <w:kern w:val="2"/>
          <w:sz w:val="32"/>
          <w:szCs w:val="24"/>
          <w:lang w:val="en-US" w:eastAsia="zh-CN" w:bidi="ar-SA"/>
        </w:rPr>
      </w:pPr>
      <w:r>
        <w:rPr>
          <w:rFonts w:hint="eastAsia" w:ascii="Times New Roman" w:hAnsi="Times New Roman" w:cs="Times New Roman"/>
          <w:bCs w:val="0"/>
          <w:color w:val="auto"/>
          <w:kern w:val="2"/>
          <w:sz w:val="32"/>
          <w:szCs w:val="24"/>
          <w:lang w:val="en-US" w:eastAsia="zh-CN" w:bidi="ar-SA"/>
        </w:rPr>
        <w:t>福建省节能改造项目节能量审核指南（2024版）（福建省节能中心编）</w:t>
      </w:r>
    </w:p>
    <w:p w14:paraId="5DDB39B5">
      <w:pPr>
        <w:rPr>
          <w:rFonts w:hint="eastAsia" w:ascii="Times New Roman" w:hAnsi="Times New Roman" w:cs="Times New Roman"/>
          <w:bCs w:val="0"/>
          <w:color w:val="auto"/>
          <w:kern w:val="2"/>
          <w:sz w:val="32"/>
          <w:szCs w:val="24"/>
          <w:lang w:val="en-US" w:eastAsia="zh-CN" w:bidi="ar-SA"/>
        </w:rPr>
      </w:pPr>
      <w:r>
        <w:rPr>
          <w:rFonts w:hint="eastAsia" w:ascii="Times New Roman" w:hAnsi="Times New Roman" w:cs="Times New Roman"/>
          <w:bCs w:val="0"/>
          <w:color w:val="auto"/>
          <w:kern w:val="2"/>
          <w:sz w:val="32"/>
          <w:szCs w:val="24"/>
          <w:lang w:val="en-US" w:eastAsia="zh-CN" w:bidi="ar-SA"/>
        </w:rPr>
        <w:t>国家发展改革委 财政部关于印发《节能项目节能量审核指南》的通知（</w:t>
      </w:r>
      <w:r>
        <w:rPr>
          <w:rFonts w:hint="eastAsia" w:ascii="Times New Roman" w:hAnsi="Times New Roman" w:cs="Times New Roman"/>
          <w:bCs w:val="0"/>
          <w:color w:val="auto"/>
          <w:kern w:val="2"/>
          <w:sz w:val="32"/>
          <w:szCs w:val="24"/>
          <w:lang w:val="en-US" w:eastAsia="zh-CN" w:bidi="ar-SA"/>
        </w:rPr>
        <w:fldChar w:fldCharType="begin"/>
      </w:r>
      <w:r>
        <w:rPr>
          <w:rFonts w:hint="eastAsia" w:ascii="Times New Roman" w:hAnsi="Times New Roman" w:cs="Times New Roman"/>
          <w:bCs w:val="0"/>
          <w:color w:val="auto"/>
          <w:kern w:val="2"/>
          <w:sz w:val="32"/>
          <w:szCs w:val="24"/>
          <w:lang w:val="en-US" w:eastAsia="zh-CN" w:bidi="ar-SA"/>
        </w:rPr>
        <w:instrText xml:space="preserve"> HYPERLINK "http://www.waizi.org.cn/doc/42429.html" \o "发改环资〔2008〕704号《国家发展改革委财政部关于印发〈节能项目节能量审核指南〉的通知》" \t "/home/suma/文档\\x/_blank" </w:instrText>
      </w:r>
      <w:r>
        <w:rPr>
          <w:rFonts w:hint="eastAsia" w:ascii="Times New Roman" w:hAnsi="Times New Roman" w:cs="Times New Roman"/>
          <w:bCs w:val="0"/>
          <w:color w:val="auto"/>
          <w:kern w:val="2"/>
          <w:sz w:val="32"/>
          <w:szCs w:val="24"/>
          <w:lang w:val="en-US" w:eastAsia="zh-CN" w:bidi="ar-SA"/>
        </w:rPr>
        <w:fldChar w:fldCharType="separate"/>
      </w:r>
      <w:r>
        <w:rPr>
          <w:rFonts w:hint="eastAsia" w:ascii="Times New Roman" w:hAnsi="Times New Roman" w:cs="Times New Roman"/>
          <w:bCs w:val="0"/>
          <w:color w:val="auto"/>
          <w:kern w:val="2"/>
          <w:sz w:val="32"/>
          <w:szCs w:val="24"/>
          <w:lang w:val="en-US" w:eastAsia="zh-CN" w:bidi="ar-SA"/>
        </w:rPr>
        <w:t>发改环资〔2008〕704号</w:t>
      </w:r>
      <w:r>
        <w:rPr>
          <w:rFonts w:hint="eastAsia" w:ascii="Times New Roman" w:hAnsi="Times New Roman" w:cs="Times New Roman"/>
          <w:bCs w:val="0"/>
          <w:color w:val="auto"/>
          <w:kern w:val="2"/>
          <w:sz w:val="32"/>
          <w:szCs w:val="24"/>
          <w:lang w:val="en-US" w:eastAsia="zh-CN" w:bidi="ar-SA"/>
        </w:rPr>
        <w:fldChar w:fldCharType="end"/>
      </w:r>
      <w:r>
        <w:rPr>
          <w:rFonts w:hint="eastAsia" w:ascii="Times New Roman" w:hAnsi="Times New Roman" w:cs="Times New Roman"/>
          <w:bCs w:val="0"/>
          <w:color w:val="auto"/>
          <w:kern w:val="2"/>
          <w:sz w:val="32"/>
          <w:szCs w:val="24"/>
          <w:lang w:val="en-US" w:eastAsia="zh-CN" w:bidi="ar-SA"/>
        </w:rPr>
        <w:t>）</w:t>
      </w:r>
    </w:p>
    <w:p w14:paraId="0E205332">
      <w:pPr>
        <w:rPr>
          <w:rFonts w:hint="default" w:ascii="Times New Roman" w:hAnsi="Times New Roman" w:cs="Times New Roman"/>
          <w:bCs w:val="0"/>
          <w:color w:val="auto"/>
          <w:kern w:val="2"/>
          <w:sz w:val="32"/>
          <w:szCs w:val="24"/>
          <w:lang w:val="en-US" w:eastAsia="zh-CN" w:bidi="ar-SA"/>
        </w:rPr>
      </w:pPr>
      <w:r>
        <w:rPr>
          <w:rFonts w:hint="default" w:ascii="Times New Roman" w:hAnsi="Times New Roman" w:cs="Times New Roman"/>
          <w:bCs w:val="0"/>
          <w:color w:val="auto"/>
          <w:kern w:val="2"/>
          <w:sz w:val="32"/>
          <w:szCs w:val="24"/>
          <w:lang w:val="en-US" w:eastAsia="zh-CN" w:bidi="ar-SA"/>
        </w:rPr>
        <w:t>财政部</w:t>
      </w:r>
      <w:r>
        <w:rPr>
          <w:rFonts w:hint="eastAsia" w:ascii="Times New Roman" w:hAnsi="Times New Roman" w:cs="Times New Roman"/>
          <w:bCs w:val="0"/>
          <w:color w:val="auto"/>
          <w:kern w:val="2"/>
          <w:sz w:val="32"/>
          <w:szCs w:val="24"/>
          <w:lang w:val="en-US" w:eastAsia="zh-CN" w:bidi="ar-SA"/>
        </w:rPr>
        <w:t xml:space="preserve"> </w:t>
      </w:r>
      <w:r>
        <w:rPr>
          <w:rFonts w:hint="default" w:ascii="Times New Roman" w:hAnsi="Times New Roman" w:cs="Times New Roman"/>
          <w:bCs w:val="0"/>
          <w:color w:val="auto"/>
          <w:kern w:val="2"/>
          <w:sz w:val="32"/>
          <w:szCs w:val="24"/>
          <w:lang w:val="en-US" w:eastAsia="zh-CN" w:bidi="ar-SA"/>
        </w:rPr>
        <w:t>发展改革委关于印发《节能技术改造财政奖励资金管理办法》的通知</w:t>
      </w:r>
      <w:r>
        <w:rPr>
          <w:rFonts w:hint="eastAsia" w:ascii="Times New Roman" w:hAnsi="Times New Roman" w:cs="Times New Roman"/>
          <w:bCs w:val="0"/>
          <w:color w:val="auto"/>
          <w:kern w:val="2"/>
          <w:sz w:val="32"/>
          <w:szCs w:val="24"/>
          <w:lang w:val="en-US" w:eastAsia="zh-CN" w:bidi="ar-SA"/>
        </w:rPr>
        <w:t>（财建〔2011〕367号）</w:t>
      </w:r>
    </w:p>
    <w:p w14:paraId="08B03A1F">
      <w:pPr>
        <w:pStyle w:val="4"/>
        <w:keepNext w:val="0"/>
        <w:keepLines w:val="0"/>
        <w:pageBreakBefore w:val="0"/>
        <w:kinsoku/>
        <w:wordWrap/>
        <w:bidi w:val="0"/>
        <w:snapToGrid/>
        <w:spacing w:after="0" w:line="578" w:lineRule="exact"/>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（三）调研及形成草案、征求意见稿</w:t>
      </w:r>
    </w:p>
    <w:p w14:paraId="6BA111A7">
      <w:pPr>
        <w:keepNext w:val="0"/>
        <w:keepLines w:val="0"/>
        <w:pageBreakBefore w:val="0"/>
        <w:kinsoku/>
        <w:wordWrap/>
        <w:bidi w:val="0"/>
        <w:snapToGrid/>
        <w:spacing w:line="578" w:lineRule="exact"/>
        <w:textAlignment w:val="auto"/>
        <w:rPr>
          <w:rFonts w:hint="eastAsia"/>
          <w:color w:val="auto"/>
          <w:lang w:val="en-US" w:eastAsia="zh-CN"/>
        </w:rPr>
      </w:pPr>
      <w:r>
        <w:rPr>
          <w:rFonts w:hint="eastAsia"/>
          <w:color w:val="auto"/>
          <w:lang w:val="en-US" w:eastAsia="zh-CN"/>
        </w:rPr>
        <w:t>标准编写组在对收集的资料进行整理研究之后，对标准的整体框架结构和关键性内容进行研究。经研究决定，标准的主体内容由范围、规范性引用文件、术语和定义、工业技术改造项目、节能量、基期、统计报告期、节能量确定原则、节能量计算方法、数据来源和数据缺失处理。2025年12月中旬-2026年1月中旬期间，标准编写组就水泥、电解铝等企业节能技术改造项目节能量计算进行调研。2026年1月底形成团体标准《工业节能技术改造项目节能量计算规范（内部征求意见稿）》，并向全区节能监察机构和相关企业征求意见。2026年2月10日主编单位召集编写组根据自治区统筹支持工业振兴资金（绿色发展类项目）评审会相关材料对照标准节能量计算公式进行验证和讨论。3月26日主编单位再次召集编写组对团标进行内部征求意见讨论会，修改形成了团体标准《工业节能技术改造项目节能量计算规范（征求意见稿）》和编制说明。</w:t>
      </w:r>
    </w:p>
    <w:p w14:paraId="3ECD48F6">
      <w:pPr>
        <w:pStyle w:val="3"/>
        <w:keepNext w:val="0"/>
        <w:keepLines w:val="0"/>
        <w:pageBreakBefore w:val="0"/>
        <w:numPr>
          <w:ilvl w:val="0"/>
          <w:numId w:val="4"/>
        </w:numPr>
        <w:kinsoku/>
        <w:wordWrap/>
        <w:bidi w:val="0"/>
        <w:snapToGrid/>
        <w:spacing w:after="0" w:line="578" w:lineRule="exact"/>
        <w:textAlignment w:val="auto"/>
        <w:rPr>
          <w:color w:val="auto"/>
        </w:rPr>
      </w:pPr>
      <w:r>
        <w:rPr>
          <w:color w:val="auto"/>
        </w:rPr>
        <w:t>制定标准的原则和依据，与现行</w:t>
      </w:r>
      <w:r>
        <w:rPr>
          <w:rFonts w:hint="eastAsia"/>
          <w:color w:val="auto"/>
          <w:lang w:eastAsia="zh-CN"/>
        </w:rPr>
        <w:t>法律法规</w:t>
      </w:r>
      <w:r>
        <w:rPr>
          <w:color w:val="auto"/>
        </w:rPr>
        <w:t>的关系，与有关国家标准、行业标准的协调情况</w:t>
      </w:r>
    </w:p>
    <w:p w14:paraId="3E32773C">
      <w:pPr>
        <w:pStyle w:val="4"/>
        <w:keepNext w:val="0"/>
        <w:keepLines w:val="0"/>
        <w:pageBreakBefore w:val="0"/>
        <w:numPr>
          <w:ilvl w:val="0"/>
          <w:numId w:val="5"/>
        </w:numPr>
        <w:kinsoku/>
        <w:wordWrap/>
        <w:bidi w:val="0"/>
        <w:snapToGrid/>
        <w:spacing w:after="0" w:line="578" w:lineRule="exact"/>
        <w:textAlignment w:val="auto"/>
        <w:rPr>
          <w:rFonts w:hint="eastAsia"/>
          <w:color w:val="auto"/>
          <w:lang w:val="en-US" w:eastAsia="zh-CN"/>
        </w:rPr>
      </w:pPr>
      <w:r>
        <w:rPr>
          <w:rFonts w:hint="eastAsia"/>
          <w:color w:val="auto"/>
          <w:lang w:val="en-US" w:eastAsia="zh-CN"/>
        </w:rPr>
        <w:t>制定标准的原则</w:t>
      </w:r>
    </w:p>
    <w:p w14:paraId="6894FBB1">
      <w:pPr>
        <w:keepNext w:val="0"/>
        <w:keepLines w:val="0"/>
        <w:pageBreakBefore w:val="0"/>
        <w:kinsoku/>
        <w:wordWrap/>
        <w:overflowPunct w:val="0"/>
        <w:topLinePunct/>
        <w:bidi w:val="0"/>
        <w:snapToGrid/>
        <w:spacing w:line="578" w:lineRule="exact"/>
        <w:ind w:firstLine="641"/>
        <w:textAlignment w:val="auto"/>
        <w:outlineLvl w:val="2"/>
        <w:rPr>
          <w:rFonts w:eastAsia="仿宋_GB2312"/>
          <w:b w:val="0"/>
          <w:bCs/>
          <w:color w:val="auto"/>
          <w:sz w:val="32"/>
          <w:szCs w:val="32"/>
        </w:rPr>
      </w:pPr>
      <w:r>
        <w:rPr>
          <w:rFonts w:hint="eastAsia" w:ascii="Times New Roman" w:hAnsi="Times New Roman" w:cs="Times New Roman"/>
          <w:color w:val="auto"/>
          <w:lang w:val="en-US" w:eastAsia="zh-CN"/>
        </w:rPr>
        <w:t>1.</w:t>
      </w:r>
      <w:r>
        <w:rPr>
          <w:rFonts w:eastAsia="仿宋_GB2312"/>
          <w:b/>
          <w:bCs w:val="0"/>
          <w:color w:val="auto"/>
          <w:sz w:val="32"/>
          <w:szCs w:val="32"/>
        </w:rPr>
        <w:t>实用性原则</w:t>
      </w:r>
    </w:p>
    <w:p w14:paraId="288BD1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eastAsia="仿宋_GB2312"/>
          <w:color w:val="auto"/>
          <w:sz w:val="32"/>
          <w:szCs w:val="32"/>
        </w:rPr>
      </w:pPr>
      <w:r>
        <w:rPr>
          <w:rFonts w:hint="eastAsia" w:eastAsia="仿宋_GB2312"/>
          <w:color w:val="auto"/>
          <w:sz w:val="32"/>
          <w:szCs w:val="32"/>
        </w:rPr>
        <w:t>本文件</w:t>
      </w:r>
      <w:r>
        <w:rPr>
          <w:rFonts w:hint="eastAsia"/>
          <w:color w:val="auto"/>
          <w:sz w:val="32"/>
          <w:szCs w:val="32"/>
          <w:lang w:eastAsia="zh-CN"/>
        </w:rPr>
        <w:t>是</w:t>
      </w:r>
      <w:r>
        <w:rPr>
          <w:rFonts w:hint="eastAsia" w:eastAsia="仿宋_GB2312"/>
          <w:color w:val="auto"/>
          <w:sz w:val="32"/>
          <w:szCs w:val="32"/>
        </w:rPr>
        <w:t>充分收集相关资料和文献，分析</w:t>
      </w:r>
      <w:r>
        <w:rPr>
          <w:rFonts w:hint="eastAsia"/>
          <w:color w:val="auto"/>
          <w:lang w:val="en-US" w:eastAsia="zh-CN"/>
        </w:rPr>
        <w:t>工业企业节能技术改造项目节能量计算原则、</w:t>
      </w:r>
      <w:r>
        <w:rPr>
          <w:rFonts w:hint="eastAsia"/>
          <w:color w:val="auto"/>
          <w:sz w:val="32"/>
          <w:szCs w:val="32"/>
          <w:lang w:eastAsia="zh-CN"/>
        </w:rPr>
        <w:t>方法</w:t>
      </w:r>
      <w:r>
        <w:rPr>
          <w:rFonts w:hint="eastAsia" w:eastAsia="仿宋_GB2312"/>
          <w:color w:val="auto"/>
          <w:sz w:val="32"/>
          <w:szCs w:val="32"/>
        </w:rPr>
        <w:t>，调研</w:t>
      </w:r>
      <w:r>
        <w:rPr>
          <w:rFonts w:hint="eastAsia"/>
          <w:color w:val="auto"/>
          <w:sz w:val="32"/>
          <w:szCs w:val="32"/>
          <w:lang w:eastAsia="zh-CN"/>
        </w:rPr>
        <w:t>节能量数据</w:t>
      </w:r>
      <w:r>
        <w:rPr>
          <w:color w:val="auto"/>
        </w:rPr>
        <w:t>监测、测试及统计记录</w:t>
      </w:r>
      <w:r>
        <w:rPr>
          <w:rFonts w:hint="eastAsia"/>
          <w:color w:val="auto"/>
          <w:lang w:eastAsia="zh-CN"/>
        </w:rPr>
        <w:t>等</w:t>
      </w:r>
      <w:r>
        <w:rPr>
          <w:rFonts w:hint="eastAsia" w:eastAsia="仿宋_GB2312"/>
          <w:color w:val="auto"/>
          <w:sz w:val="32"/>
          <w:szCs w:val="32"/>
        </w:rPr>
        <w:t>，</w:t>
      </w:r>
      <w:r>
        <w:rPr>
          <w:rFonts w:hint="default" w:ascii="Times New Roman" w:hAnsi="Times New Roman" w:eastAsia="仿宋_GB2312" w:cs="Times New Roman"/>
          <w:color w:val="auto"/>
          <w:sz w:val="32"/>
          <w:szCs w:val="32"/>
        </w:rPr>
        <w:t>在现有国家、行业标准相关</w:t>
      </w:r>
      <w:r>
        <w:rPr>
          <w:rFonts w:hint="eastAsia" w:ascii="Times New Roman" w:hAnsi="Times New Roman" w:cs="Times New Roman"/>
          <w:color w:val="auto"/>
          <w:sz w:val="32"/>
          <w:szCs w:val="32"/>
          <w:lang w:val="en-US" w:eastAsia="zh-CN"/>
        </w:rPr>
        <w:t>计算方法与要求</w:t>
      </w:r>
      <w:r>
        <w:rPr>
          <w:rFonts w:hint="default" w:ascii="Times New Roman" w:hAnsi="Times New Roman" w:eastAsia="仿宋_GB2312" w:cs="Times New Roman"/>
          <w:color w:val="auto"/>
          <w:sz w:val="32"/>
          <w:szCs w:val="32"/>
        </w:rPr>
        <w:t>基础上，结合多年</w:t>
      </w:r>
      <w:r>
        <w:rPr>
          <w:rFonts w:hint="eastAsia" w:ascii="Times New Roman" w:hAnsi="Times New Roman" w:cs="Times New Roman"/>
          <w:color w:val="auto"/>
          <w:sz w:val="32"/>
          <w:szCs w:val="32"/>
          <w:lang w:val="en-US" w:eastAsia="zh-CN"/>
        </w:rPr>
        <w:t>实践</w:t>
      </w:r>
      <w:r>
        <w:rPr>
          <w:rFonts w:hint="default" w:ascii="Times New Roman" w:hAnsi="Times New Roman" w:eastAsia="仿宋_GB2312" w:cs="Times New Roman"/>
          <w:color w:val="auto"/>
          <w:sz w:val="32"/>
          <w:szCs w:val="32"/>
        </w:rPr>
        <w:t>经验而总结起草的。其相关指标、技术要求和计算方法满足相关环保标准和环保工作的要求，有利于行业的长远发展，具有较强的实用性和可操作性。</w:t>
      </w:r>
    </w:p>
    <w:p w14:paraId="28A61B13">
      <w:pPr>
        <w:keepNext w:val="0"/>
        <w:keepLines w:val="0"/>
        <w:pageBreakBefore w:val="0"/>
        <w:kinsoku/>
        <w:wordWrap/>
        <w:overflowPunct w:val="0"/>
        <w:topLinePunct/>
        <w:bidi w:val="0"/>
        <w:snapToGrid/>
        <w:spacing w:line="578" w:lineRule="exact"/>
        <w:ind w:firstLine="641"/>
        <w:textAlignment w:val="auto"/>
        <w:outlineLvl w:val="2"/>
        <w:rPr>
          <w:rFonts w:hint="default" w:ascii="Times New Roman" w:hAnsi="Times New Roman" w:eastAsia="仿宋_GB2312" w:cs="Times New Roman"/>
          <w:b/>
          <w:color w:val="auto"/>
          <w:sz w:val="32"/>
          <w:szCs w:val="32"/>
        </w:rPr>
      </w:pPr>
      <w:r>
        <w:rPr>
          <w:rFonts w:hint="eastAsia" w:ascii="Times New Roman" w:hAnsi="Times New Roman" w:cs="Times New Roman"/>
          <w:b/>
          <w:color w:val="auto"/>
          <w:sz w:val="32"/>
          <w:szCs w:val="32"/>
          <w:lang w:eastAsia="zh-CN"/>
        </w:rPr>
        <w:t>2.</w:t>
      </w:r>
      <w:r>
        <w:rPr>
          <w:rFonts w:hint="default" w:ascii="Times New Roman" w:hAnsi="Times New Roman" w:eastAsia="仿宋_GB2312" w:cs="Times New Roman"/>
          <w:b/>
          <w:color w:val="auto"/>
          <w:sz w:val="32"/>
          <w:szCs w:val="32"/>
        </w:rPr>
        <w:t>协调性原则</w:t>
      </w:r>
    </w:p>
    <w:p w14:paraId="6B93D36D">
      <w:pPr>
        <w:keepNext w:val="0"/>
        <w:keepLines w:val="0"/>
        <w:pageBreakBefore w:val="0"/>
        <w:kinsoku/>
        <w:wordWrap/>
        <w:overflowPunct w:val="0"/>
        <w:topLinePunct/>
        <w:bidi w:val="0"/>
        <w:snapToGrid/>
        <w:spacing w:line="578"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本文件编写过程中注意了与</w:t>
      </w:r>
      <w:r>
        <w:rPr>
          <w:rFonts w:hint="default" w:ascii="Times New Roman" w:hAnsi="Times New Roman" w:eastAsia="仿宋_GB2312" w:cs="Times New Roman"/>
          <w:color w:val="auto"/>
          <w:sz w:val="32"/>
          <w:szCs w:val="32"/>
          <w:lang w:val="en-US" w:eastAsia="zh-CN"/>
        </w:rPr>
        <w:t>工业节能技术改造项目节能量计算</w:t>
      </w:r>
      <w:r>
        <w:rPr>
          <w:rFonts w:hint="eastAsia" w:ascii="Times New Roman" w:hAnsi="Times New Roman" w:cs="Times New Roman"/>
          <w:color w:val="auto"/>
          <w:sz w:val="32"/>
          <w:szCs w:val="32"/>
          <w:lang w:val="en-US" w:eastAsia="zh-CN"/>
        </w:rPr>
        <w:t>规范</w:t>
      </w:r>
      <w:r>
        <w:rPr>
          <w:rFonts w:hint="default" w:ascii="Times New Roman" w:hAnsi="Times New Roman" w:eastAsia="仿宋_GB2312" w:cs="Times New Roman"/>
          <w:color w:val="auto"/>
          <w:sz w:val="32"/>
          <w:szCs w:val="32"/>
        </w:rPr>
        <w:t>相关法律法规的协调问题，在内容上与现行法律法规、标准协调一致。</w:t>
      </w:r>
    </w:p>
    <w:p w14:paraId="218FCDA4">
      <w:pPr>
        <w:keepNext w:val="0"/>
        <w:keepLines w:val="0"/>
        <w:pageBreakBefore w:val="0"/>
        <w:kinsoku/>
        <w:wordWrap/>
        <w:overflowPunct w:val="0"/>
        <w:topLinePunct/>
        <w:bidi w:val="0"/>
        <w:snapToGrid/>
        <w:spacing w:line="578" w:lineRule="exact"/>
        <w:ind w:firstLine="641"/>
        <w:textAlignment w:val="auto"/>
        <w:outlineLvl w:val="2"/>
        <w:rPr>
          <w:rFonts w:eastAsia="仿宋_GB2312"/>
          <w:b/>
          <w:color w:val="auto"/>
          <w:sz w:val="32"/>
          <w:szCs w:val="32"/>
        </w:rPr>
      </w:pPr>
      <w:r>
        <w:rPr>
          <w:rFonts w:hint="eastAsia" w:ascii="Times New Roman" w:hAnsi="Times New Roman" w:cs="Times New Roman"/>
          <w:b/>
          <w:color w:val="auto"/>
          <w:sz w:val="32"/>
          <w:szCs w:val="32"/>
          <w:lang w:eastAsia="zh-CN"/>
        </w:rPr>
        <w:t>3.</w:t>
      </w:r>
      <w:r>
        <w:rPr>
          <w:rFonts w:hint="default" w:ascii="Times New Roman" w:hAnsi="Times New Roman" w:eastAsia="仿宋_GB2312" w:cs="Times New Roman"/>
          <w:b/>
          <w:color w:val="auto"/>
          <w:sz w:val="32"/>
          <w:szCs w:val="32"/>
        </w:rPr>
        <w:t>规范性原则</w:t>
      </w:r>
    </w:p>
    <w:p w14:paraId="590F89D9">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bidi w:val="0"/>
        <w:snapToGrid/>
        <w:spacing w:before="0" w:beforeAutospacing="0" w:afterAutospacing="0" w:line="578" w:lineRule="exact"/>
        <w:ind w:right="0" w:rightChars="0" w:firstLine="64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本标准在编制过程中严格按照GB/T 1.1—2020《标准化工作导则 第1部分：标准化文件的结构和起草规则》规定的基本原则和要求进行编写。</w:t>
      </w:r>
    </w:p>
    <w:p w14:paraId="1B3BF819">
      <w:pPr>
        <w:keepNext w:val="0"/>
        <w:keepLines w:val="0"/>
        <w:pageBreakBefore w:val="0"/>
        <w:kinsoku/>
        <w:wordWrap/>
        <w:overflowPunct w:val="0"/>
        <w:topLinePunct/>
        <w:bidi w:val="0"/>
        <w:snapToGrid/>
        <w:spacing w:line="578" w:lineRule="exact"/>
        <w:ind w:firstLine="641"/>
        <w:textAlignment w:val="auto"/>
        <w:outlineLvl w:val="2"/>
        <w:rPr>
          <w:rFonts w:hint="default" w:ascii="Times New Roman" w:hAnsi="Times New Roman" w:eastAsia="仿宋_GB2312" w:cs="Times New Roman"/>
          <w:b/>
          <w:color w:val="auto"/>
          <w:sz w:val="32"/>
          <w:szCs w:val="32"/>
        </w:rPr>
      </w:pPr>
      <w:r>
        <w:rPr>
          <w:rFonts w:hint="eastAsia" w:ascii="Times New Roman" w:hAnsi="Times New Roman" w:cs="Times New Roman"/>
          <w:b/>
          <w:color w:val="auto"/>
          <w:sz w:val="32"/>
          <w:szCs w:val="32"/>
          <w:lang w:val="en-US" w:eastAsia="zh-CN"/>
        </w:rPr>
        <w:t>4.</w:t>
      </w:r>
      <w:r>
        <w:rPr>
          <w:rFonts w:hint="eastAsia" w:ascii="Times New Roman" w:hAnsi="Times New Roman" w:cs="Times New Roman"/>
          <w:b/>
          <w:color w:val="auto"/>
          <w:sz w:val="32"/>
          <w:szCs w:val="32"/>
          <w:lang w:eastAsia="zh-CN"/>
        </w:rPr>
        <w:t>前瞻性</w:t>
      </w:r>
      <w:r>
        <w:rPr>
          <w:rFonts w:hint="default" w:ascii="Times New Roman" w:hAnsi="Times New Roman" w:eastAsia="仿宋_GB2312" w:cs="Times New Roman"/>
          <w:b/>
          <w:color w:val="auto"/>
          <w:sz w:val="32"/>
          <w:szCs w:val="32"/>
        </w:rPr>
        <w:t>原则</w:t>
      </w:r>
    </w:p>
    <w:p w14:paraId="49434F04">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bidi w:val="0"/>
        <w:snapToGrid/>
        <w:spacing w:before="0" w:beforeAutospacing="0" w:afterAutospacing="0" w:line="578" w:lineRule="exact"/>
        <w:ind w:right="0" w:rightChars="0" w:firstLine="64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本</w:t>
      </w:r>
      <w:r>
        <w:rPr>
          <w:rFonts w:hint="eastAsia" w:ascii="Times New Roman" w:hAnsi="Times New Roman" w:cs="Times New Roman"/>
          <w:color w:val="auto"/>
          <w:lang w:val="en-US" w:eastAsia="zh-CN"/>
        </w:rPr>
        <w:t>标准将填补工业节能技改领域节能量核算的规范化空白，为项目评估、政策制定及市场交易提供技术支撑，为政府节能奖励资金发放、碳排放权交易等政策提供技术依据，同时规范合同能源管理项目的节能量核算</w:t>
      </w:r>
      <w:r>
        <w:rPr>
          <w:rFonts w:hint="default" w:ascii="Times New Roman" w:hAnsi="Times New Roman" w:cs="Times New Roman"/>
          <w:color w:val="auto"/>
          <w:lang w:val="en-US" w:eastAsia="zh-CN"/>
        </w:rPr>
        <w:t>。</w:t>
      </w:r>
    </w:p>
    <w:p w14:paraId="2CF22D5D">
      <w:pPr>
        <w:pStyle w:val="4"/>
        <w:keepNext w:val="0"/>
        <w:keepLines w:val="0"/>
        <w:pageBreakBefore w:val="0"/>
        <w:numPr>
          <w:ilvl w:val="0"/>
          <w:numId w:val="5"/>
        </w:numPr>
        <w:kinsoku/>
        <w:wordWrap/>
        <w:bidi w:val="0"/>
        <w:snapToGrid/>
        <w:spacing w:after="0" w:line="578" w:lineRule="exact"/>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编制的依据</w:t>
      </w:r>
    </w:p>
    <w:p w14:paraId="356FBD00">
      <w:pPr>
        <w:keepNext w:val="0"/>
        <w:keepLines w:val="0"/>
        <w:pageBreakBefore w:val="0"/>
        <w:kinsoku/>
        <w:wordWrap/>
        <w:bidi w:val="0"/>
        <w:snapToGrid/>
        <w:spacing w:line="578" w:lineRule="exact"/>
        <w:textAlignment w:val="auto"/>
        <w:rPr>
          <w:rFonts w:hint="default" w:ascii="Times New Roman" w:hAnsi="Times New Roman" w:cs="Times New Roman"/>
          <w:color w:val="auto"/>
        </w:rPr>
      </w:pPr>
      <w:r>
        <w:rPr>
          <w:rFonts w:hint="eastAsia" w:ascii="仿宋_GB2312" w:eastAsia="仿宋_GB2312"/>
          <w:color w:val="auto"/>
          <w:sz w:val="32"/>
          <w:szCs w:val="32"/>
        </w:rPr>
        <w:t>本标准严格按</w:t>
      </w:r>
      <w:r>
        <w:rPr>
          <w:rFonts w:hint="eastAsia" w:ascii="Times New Roman" w:hAnsi="Times New Roman" w:cs="Times New Roman"/>
          <w:color w:val="auto"/>
          <w:lang w:eastAsia="zh-CN"/>
        </w:rPr>
        <w:t>照</w:t>
      </w:r>
      <w:r>
        <w:rPr>
          <w:rFonts w:hint="default" w:ascii="Times New Roman" w:hAnsi="Times New Roman" w:cs="Times New Roman"/>
          <w:color w:val="auto"/>
          <w:lang w:eastAsia="zh-CN"/>
        </w:rPr>
        <w:t>GB/T 1.1—2020</w:t>
      </w:r>
      <w:r>
        <w:rPr>
          <w:rFonts w:hint="eastAsia" w:ascii="Times New Roman" w:hAnsi="Times New Roman" w:cs="Times New Roman"/>
          <w:color w:val="auto"/>
          <w:lang w:eastAsia="zh-CN"/>
        </w:rPr>
        <w:t>《</w:t>
      </w:r>
      <w:r>
        <w:rPr>
          <w:rFonts w:hint="eastAsia" w:ascii="仿宋_GB2312" w:eastAsia="仿宋_GB2312"/>
          <w:color w:val="auto"/>
          <w:sz w:val="32"/>
          <w:szCs w:val="32"/>
        </w:rPr>
        <w:t>标准化工作</w:t>
      </w:r>
      <w:r>
        <w:rPr>
          <w:rFonts w:hint="eastAsia" w:ascii="仿宋_GB2312"/>
          <w:color w:val="auto"/>
          <w:sz w:val="32"/>
          <w:szCs w:val="32"/>
          <w:lang w:val="en-US" w:eastAsia="zh-CN"/>
        </w:rPr>
        <w:t>导则</w:t>
      </w:r>
      <w:r>
        <w:rPr>
          <w:rFonts w:hint="eastAsia" w:ascii="仿宋_GB2312" w:eastAsia="仿宋_GB2312"/>
          <w:color w:val="auto"/>
          <w:sz w:val="32"/>
          <w:szCs w:val="32"/>
        </w:rPr>
        <w:t xml:space="preserve">  第1部分：标准化文件的结构和起草规则》的规则起草，</w:t>
      </w:r>
      <w:r>
        <w:rPr>
          <w:rFonts w:hint="default" w:ascii="Times New Roman" w:hAnsi="Times New Roman" w:cs="Times New Roman"/>
          <w:color w:val="auto"/>
        </w:rPr>
        <w:t>标准主要内容参考GB/T 2589《综合能耗计算通则》</w:t>
      </w:r>
      <w:r>
        <w:rPr>
          <w:rFonts w:hint="eastAsia" w:ascii="Times New Roman" w:hAnsi="Times New Roman" w:cs="Times New Roman"/>
          <w:color w:val="auto"/>
          <w:lang w:eastAsia="zh-CN"/>
        </w:rPr>
        <w:t xml:space="preserve">、GB/T </w:t>
      </w:r>
      <w:r>
        <w:rPr>
          <w:rFonts w:hint="eastAsia" w:ascii="Times New Roman" w:hAnsi="Times New Roman" w:cs="Times New Roman"/>
          <w:color w:val="auto"/>
          <w:lang w:val="en-US" w:eastAsia="zh-CN"/>
        </w:rPr>
        <w:t>28750</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节能量测量和验证技术通则</w:t>
      </w:r>
      <w:r>
        <w:rPr>
          <w:rFonts w:hint="eastAsia" w:ascii="Times New Roman" w:hAnsi="Times New Roman" w:cs="Times New Roman"/>
          <w:color w:val="auto"/>
          <w:lang w:eastAsia="zh-CN"/>
        </w:rPr>
        <w:t>》</w:t>
      </w:r>
      <w:r>
        <w:rPr>
          <w:rFonts w:hint="default" w:ascii="Times New Roman" w:hAnsi="Times New Roman" w:cs="Times New Roman"/>
          <w:color w:val="auto"/>
        </w:rPr>
        <w:t>等相关标准要求基础上，结合</w:t>
      </w:r>
      <w:r>
        <w:rPr>
          <w:rFonts w:hint="default" w:ascii="Times New Roman" w:hAnsi="Times New Roman" w:cs="Times New Roman"/>
          <w:color w:val="auto"/>
          <w:lang w:eastAsia="zh-CN"/>
        </w:rPr>
        <w:t>广西壮族自治区</w:t>
      </w:r>
      <w:r>
        <w:rPr>
          <w:rFonts w:hint="eastAsia" w:ascii="Times New Roman" w:hAnsi="Times New Roman" w:cs="Times New Roman"/>
          <w:color w:val="auto"/>
          <w:lang w:val="en-US" w:eastAsia="zh-CN"/>
        </w:rPr>
        <w:t>工业促进和中小企业服务中心</w:t>
      </w:r>
      <w:r>
        <w:rPr>
          <w:rFonts w:hint="default" w:ascii="Times New Roman" w:hAnsi="Times New Roman" w:cs="Times New Roman"/>
          <w:color w:val="auto"/>
        </w:rPr>
        <w:t>等起草单位的研究成果而确定，在征求相关专家意见后起草制定。</w:t>
      </w:r>
    </w:p>
    <w:p w14:paraId="5C4A1ECF">
      <w:pPr>
        <w:pStyle w:val="4"/>
        <w:keepNext w:val="0"/>
        <w:keepLines w:val="0"/>
        <w:pageBreakBefore w:val="0"/>
        <w:numPr>
          <w:ilvl w:val="0"/>
          <w:numId w:val="5"/>
        </w:numPr>
        <w:kinsoku/>
        <w:wordWrap/>
        <w:bidi w:val="0"/>
        <w:snapToGrid/>
        <w:spacing w:after="0" w:line="578" w:lineRule="exact"/>
        <w:textAlignment w:val="auto"/>
        <w:rPr>
          <w:color w:val="auto"/>
        </w:rPr>
      </w:pPr>
      <w:r>
        <w:rPr>
          <w:color w:val="auto"/>
        </w:rPr>
        <w:t>与现行</w:t>
      </w:r>
      <w:r>
        <w:rPr>
          <w:rFonts w:hint="eastAsia"/>
          <w:color w:val="auto"/>
          <w:lang w:eastAsia="zh-CN"/>
        </w:rPr>
        <w:t>法律法规</w:t>
      </w:r>
      <w:r>
        <w:rPr>
          <w:color w:val="auto"/>
        </w:rPr>
        <w:t>的关系，与有关国家标准、行业标准的协调情况</w:t>
      </w:r>
    </w:p>
    <w:p w14:paraId="74A2426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rPr>
        <w:t>本标准与相关法律法规、强制性标准协调一致，无冲突。</w:t>
      </w:r>
    </w:p>
    <w:p w14:paraId="365BE08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rPr>
        <w:t>本标准的编制依据现行</w:t>
      </w:r>
      <w:r>
        <w:rPr>
          <w:rFonts w:hint="eastAsia"/>
          <w:color w:val="auto"/>
          <w:lang w:eastAsia="zh-CN"/>
        </w:rPr>
        <w:t>法律法规</w:t>
      </w:r>
      <w:r>
        <w:rPr>
          <w:rFonts w:hint="eastAsia"/>
          <w:color w:val="auto"/>
        </w:rPr>
        <w:t>和国家强制性标准，与这些文件中的规定不存在矛盾，协调一致，标准的编写符合GB/T 1.1—2020的要求。</w:t>
      </w:r>
    </w:p>
    <w:p w14:paraId="74087A1D">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rPr>
        <w:t>经初步检索，国内尚无专门针对“</w:t>
      </w:r>
      <w:sdt>
        <w:sdtPr>
          <w:rPr>
            <w:color w:val="auto"/>
          </w:rPr>
          <w:tag w:val="NEW_STAND_NAME"/>
          <w:id w:val="147474225"/>
          <w:lock w:val="sdtLocked"/>
          <w:placeholder>
            <w:docPart w:val="{7be415e2-3bf4-4592-8393-6494ef8e4438}"/>
          </w:placeholder>
        </w:sdtPr>
        <w:sdtEndPr>
          <w:rPr>
            <w:color w:val="auto"/>
          </w:rPr>
        </w:sdtEndPr>
        <w:sdtContent>
          <w:r>
            <w:rPr>
              <w:rFonts w:hint="eastAsia"/>
              <w:color w:val="auto"/>
              <w:lang w:eastAsia="zh-CN"/>
            </w:rPr>
            <w:t>工业节能技术改造项目节能量计算规范</w:t>
          </w:r>
        </w:sdtContent>
      </w:sdt>
      <w:r>
        <w:rPr>
          <w:rFonts w:hint="eastAsia"/>
          <w:color w:val="auto"/>
        </w:rPr>
        <w:t>”的综合性国家标准或行业标准。本标准与相关国家、地方标准比对及协调情况如下：</w:t>
      </w:r>
    </w:p>
    <w:p w14:paraId="00AB2BAD">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1.</w:t>
      </w:r>
      <w:r>
        <w:rPr>
          <w:rFonts w:hint="eastAsia"/>
          <w:color w:val="auto"/>
        </w:rPr>
        <w:t>本标准在节能量核心定义、边界界定、统计核算逻辑上与GB/T 13234-2018《用能单位节能量计算方法》保持一致，聚焦工业技改</w:t>
      </w:r>
      <w:r>
        <w:rPr>
          <w:rFonts w:hint="eastAsia"/>
          <w:color w:val="auto"/>
          <w:lang w:val="en-US" w:eastAsia="zh-CN"/>
        </w:rPr>
        <w:t>项目</w:t>
      </w:r>
      <w:r>
        <w:rPr>
          <w:rFonts w:hint="eastAsia"/>
          <w:color w:val="auto"/>
        </w:rPr>
        <w:t>场景细化计算流程，是对该标准在工业技改领域的落地延伸。</w:t>
      </w:r>
    </w:p>
    <w:p w14:paraId="48DA8FF1">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2.</w:t>
      </w:r>
      <w:r>
        <w:rPr>
          <w:rFonts w:hint="eastAsia"/>
          <w:color w:val="auto"/>
        </w:rPr>
        <w:t>本标准采纳GB/T 32045-2015《节能量测量和验证实施指南》的测量验证基本原则、数据质量要求、不确定度控制思路，结合技改项目特点简化实施步骤，提升可操作性。</w:t>
      </w:r>
    </w:p>
    <w:p w14:paraId="28F46C6C">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3.</w:t>
      </w:r>
      <w:r>
        <w:rPr>
          <w:rFonts w:hint="eastAsia"/>
          <w:color w:val="auto"/>
        </w:rPr>
        <w:t>本标准沿用GB/T 2589-2020《综合能耗计算通则》的综合能耗计算口径、折标系数、统计边界，确保能耗数据统一可比，是节能量计算的基础依据。</w:t>
      </w:r>
    </w:p>
    <w:p w14:paraId="5FAB247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4.</w:t>
      </w:r>
      <w:r>
        <w:rPr>
          <w:rFonts w:hint="eastAsia"/>
          <w:color w:val="auto"/>
        </w:rPr>
        <w:t>本标准在节能量预测、基准期选取、边界设定上与GB/T 39965-2021《节能量前评估计算方法》前评估思路一致，侧重技改项目后核算，形成前后评估衔接。</w:t>
      </w:r>
    </w:p>
    <w:p w14:paraId="67EBFFA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5.</w:t>
      </w:r>
      <w:r>
        <w:rPr>
          <w:rFonts w:hint="eastAsia"/>
          <w:color w:val="auto"/>
        </w:rPr>
        <w:t>本标准兼容水泥余热发电类技改项目计算要求，将行业专项方法纳入通用框架，保持</w:t>
      </w:r>
      <w:r>
        <w:rPr>
          <w:rFonts w:hint="eastAsia"/>
          <w:color w:val="auto"/>
          <w:lang w:val="en-US" w:eastAsia="zh-CN"/>
        </w:rPr>
        <w:t>与</w:t>
      </w:r>
      <w:r>
        <w:rPr>
          <w:rFonts w:hint="eastAsia"/>
          <w:color w:val="auto"/>
        </w:rPr>
        <w:t>行业</w:t>
      </w:r>
      <w:r>
        <w:rPr>
          <w:rFonts w:hint="eastAsia"/>
          <w:color w:val="auto"/>
          <w:lang w:val="en-US" w:eastAsia="zh-CN"/>
        </w:rPr>
        <w:t>标准</w:t>
      </w:r>
      <w:r>
        <w:rPr>
          <w:rFonts w:hint="eastAsia"/>
          <w:color w:val="auto"/>
        </w:rPr>
        <w:t>GB/T 31346-2014《节能量测量和验证技术要求 水泥余热发电项目》</w:t>
      </w:r>
      <w:r>
        <w:rPr>
          <w:rFonts w:hint="eastAsia"/>
          <w:color w:val="auto"/>
          <w:lang w:val="en-US" w:eastAsia="zh-CN"/>
        </w:rPr>
        <w:t>的</w:t>
      </w:r>
      <w:r>
        <w:rPr>
          <w:rFonts w:hint="eastAsia"/>
          <w:color w:val="auto"/>
        </w:rPr>
        <w:t>适配性。</w:t>
      </w:r>
    </w:p>
    <w:p w14:paraId="3F7A2A17">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6.</w:t>
      </w:r>
      <w:r>
        <w:rPr>
          <w:rFonts w:hint="eastAsia"/>
          <w:color w:val="auto"/>
        </w:rPr>
        <w:t>本标准</w:t>
      </w:r>
      <w:r>
        <w:rPr>
          <w:rFonts w:hint="eastAsia"/>
          <w:color w:val="auto"/>
          <w:lang w:val="en-US" w:eastAsia="zh-CN"/>
        </w:rPr>
        <w:t>参考了</w:t>
      </w:r>
      <w:r>
        <w:rPr>
          <w:rFonts w:hint="eastAsia"/>
          <w:color w:val="auto"/>
        </w:rPr>
        <w:t>GB/T 32040-2015《石化企业节能量计算方法》</w:t>
      </w:r>
      <w:r>
        <w:rPr>
          <w:rFonts w:hint="eastAsia"/>
          <w:color w:val="auto"/>
          <w:lang w:eastAsia="zh-CN"/>
        </w:rPr>
        <w:t>，</w:t>
      </w:r>
      <w:r>
        <w:rPr>
          <w:rFonts w:hint="eastAsia"/>
          <w:color w:val="auto"/>
        </w:rPr>
        <w:t>采纳石化行业单耗核算、系统效率测算核心方法，适用于石化类工业技改项目节能量计算。</w:t>
      </w:r>
    </w:p>
    <w:p w14:paraId="21DAC3E0">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7.</w:t>
      </w:r>
      <w:r>
        <w:rPr>
          <w:rFonts w:hint="eastAsia"/>
          <w:color w:val="auto"/>
        </w:rPr>
        <w:t>本标准</w:t>
      </w:r>
      <w:r>
        <w:rPr>
          <w:rFonts w:hint="eastAsia"/>
          <w:color w:val="auto"/>
          <w:lang w:val="en-US" w:eastAsia="zh-CN"/>
        </w:rPr>
        <w:t>依据</w:t>
      </w:r>
      <w:r>
        <w:rPr>
          <w:rFonts w:hint="eastAsia"/>
          <w:color w:val="auto"/>
        </w:rPr>
        <w:t>GB/T 39777-2021《节能量测量和验证技术要求 工业锅炉系统》</w:t>
      </w:r>
      <w:r>
        <w:rPr>
          <w:rFonts w:hint="eastAsia"/>
          <w:color w:val="auto"/>
          <w:lang w:eastAsia="zh-CN"/>
        </w:rPr>
        <w:t>，</w:t>
      </w:r>
      <w:r>
        <w:rPr>
          <w:rFonts w:hint="eastAsia"/>
          <w:color w:val="auto"/>
        </w:rPr>
        <w:t>沿用工业锅炉系统效率测试、能耗统计规范，适配锅炉节能技改项目核算。</w:t>
      </w:r>
    </w:p>
    <w:p w14:paraId="4BCC581E">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default" w:eastAsia="仿宋_GB2312"/>
          <w:color w:val="auto"/>
          <w:lang w:val="en-US" w:eastAsia="zh-CN"/>
        </w:rPr>
      </w:pPr>
      <w:r>
        <w:rPr>
          <w:rFonts w:hint="eastAsia"/>
          <w:color w:val="auto"/>
          <w:lang w:val="en-US" w:eastAsia="zh-CN"/>
        </w:rPr>
        <w:t>8.</w:t>
      </w:r>
      <w:r>
        <w:rPr>
          <w:rFonts w:hint="eastAsia"/>
          <w:color w:val="auto"/>
        </w:rPr>
        <w:t>本标准兼容中央空调系统节能改造计算要求，适用于工业配套中央空调技改项目。与GB/T 31349-2014《节能量测量和验证技术要求 中央空调系统》</w:t>
      </w:r>
      <w:r>
        <w:rPr>
          <w:rFonts w:hint="eastAsia"/>
          <w:color w:val="auto"/>
          <w:lang w:val="en-US" w:eastAsia="zh-CN"/>
        </w:rPr>
        <w:t>协调一致，无冲突。</w:t>
      </w:r>
    </w:p>
    <w:p w14:paraId="61425AAA">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9.</w:t>
      </w:r>
      <w:r>
        <w:rPr>
          <w:rFonts w:hint="eastAsia"/>
          <w:color w:val="auto"/>
        </w:rPr>
        <w:t>本标准</w:t>
      </w:r>
      <w:r>
        <w:rPr>
          <w:rFonts w:hint="eastAsia"/>
          <w:color w:val="auto"/>
          <w:lang w:val="en-US" w:eastAsia="zh-CN"/>
        </w:rPr>
        <w:t>参考了</w:t>
      </w:r>
      <w:r>
        <w:rPr>
          <w:rFonts w:hint="eastAsia"/>
          <w:color w:val="auto"/>
        </w:rPr>
        <w:t>GB/T 30256-2023《节能量测量和验证技术要求 电机系统》电机系统效率测算、能耗统计方法，覆盖电机变频、能效升级等技改场景。</w:t>
      </w:r>
    </w:p>
    <w:p w14:paraId="0F80623F">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10.</w:t>
      </w:r>
      <w:r>
        <w:rPr>
          <w:rFonts w:hint="eastAsia"/>
          <w:color w:val="auto"/>
        </w:rPr>
        <w:t>本标准参考</w:t>
      </w:r>
      <w:r>
        <w:rPr>
          <w:rFonts w:hint="eastAsia"/>
          <w:color w:val="auto"/>
          <w:lang w:eastAsia="zh-CN"/>
        </w:rPr>
        <w:t>了</w:t>
      </w:r>
      <w:r>
        <w:rPr>
          <w:rFonts w:hint="eastAsia"/>
          <w:color w:val="auto"/>
        </w:rPr>
        <w:t>DB11/T 1641-2024《节能技术改造项目节能量审核指南》基期、报告期界定，节能量审核流程、数据核查要求，结合广西工业实际优化。</w:t>
      </w:r>
    </w:p>
    <w:p w14:paraId="1599E418">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11.</w:t>
      </w:r>
      <w:r>
        <w:rPr>
          <w:rFonts w:hint="eastAsia"/>
          <w:color w:val="auto"/>
        </w:rPr>
        <w:t>本标准继承广西地方节能评定</w:t>
      </w:r>
      <w:r>
        <w:rPr>
          <w:rFonts w:hint="eastAsia"/>
          <w:color w:val="auto"/>
          <w:lang w:val="en-US" w:eastAsia="zh-CN"/>
        </w:rPr>
        <w:t>标准</w:t>
      </w:r>
      <w:r>
        <w:rPr>
          <w:rFonts w:hint="eastAsia"/>
          <w:color w:val="auto"/>
        </w:rPr>
        <w:t>DB45/T 397-2007《工业企业能源消耗的量化管理及节能评定》的能耗统计、节能效果核定思路，升级为专项技改计算规范，替代旧标准相关计算条款。</w:t>
      </w:r>
    </w:p>
    <w:p w14:paraId="62C8BB6D">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leftChars="0" w:right="0" w:rightChars="0" w:firstLine="640" w:firstLineChars="200"/>
        <w:textAlignment w:val="auto"/>
        <w:rPr>
          <w:rFonts w:hint="eastAsia"/>
          <w:color w:val="auto"/>
        </w:rPr>
      </w:pPr>
      <w:r>
        <w:rPr>
          <w:rFonts w:hint="eastAsia"/>
          <w:color w:val="auto"/>
          <w:lang w:val="en-US" w:eastAsia="zh-CN"/>
        </w:rPr>
        <w:t>12.</w:t>
      </w:r>
      <w:r>
        <w:rPr>
          <w:rFonts w:hint="eastAsia"/>
          <w:color w:val="auto"/>
        </w:rPr>
        <w:t>本标准以GB/T 28750-2012《节能量测量和验证技术通则》为顶层依据，细化工业节能技改项目计算方法、边界、数据处理，填补通则未覆盖的专项空白。</w:t>
      </w:r>
    </w:p>
    <w:p w14:paraId="4EF0D4EA">
      <w:pPr>
        <w:pStyle w:val="3"/>
        <w:keepNext w:val="0"/>
        <w:keepLines w:val="0"/>
        <w:pageBreakBefore w:val="0"/>
        <w:widowControl w:val="0"/>
        <w:kinsoku/>
        <w:wordWrap/>
        <w:overflowPunct/>
        <w:topLinePunct w:val="0"/>
        <w:autoSpaceDE/>
        <w:autoSpaceDN/>
        <w:bidi w:val="0"/>
        <w:adjustRightInd/>
        <w:snapToGrid/>
        <w:spacing w:after="0" w:line="578" w:lineRule="exact"/>
        <w:textAlignment w:val="auto"/>
        <w:rPr>
          <w:rStyle w:val="18"/>
          <w:bCs/>
          <w:color w:val="auto"/>
        </w:rPr>
      </w:pPr>
      <w:r>
        <w:rPr>
          <w:rStyle w:val="18"/>
          <w:rFonts w:hint="eastAsia"/>
          <w:bCs/>
          <w:color w:val="auto"/>
          <w:lang w:val="en-US" w:eastAsia="zh-CN"/>
        </w:rPr>
        <w:t>五、</w:t>
      </w:r>
      <w:r>
        <w:rPr>
          <w:rStyle w:val="18"/>
          <w:bCs/>
          <w:color w:val="auto"/>
        </w:rPr>
        <w:t>主要条款的说明</w:t>
      </w:r>
    </w:p>
    <w:p w14:paraId="28740983">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w:r>
        <w:rPr>
          <w:rFonts w:hint="eastAsia"/>
          <w:color w:val="auto"/>
          <w:lang w:val="en-US" w:eastAsia="zh-CN"/>
        </w:rPr>
        <w:t>本</w:t>
      </w:r>
      <w:r>
        <w:rPr>
          <w:rFonts w:hint="eastAsia"/>
          <w:color w:val="auto"/>
        </w:rPr>
        <w:t>标准</w:t>
      </w:r>
      <w:r>
        <w:rPr>
          <w:rFonts w:hint="eastAsia"/>
          <w:color w:val="auto"/>
          <w:lang w:val="en-US" w:eastAsia="zh-CN"/>
        </w:rPr>
        <w:t>规定了工业技术改造项目、节能量、基期、统计报告期的术语和定义、节能量确定原则、节能量计算方法、数据来源、数据缺失处理。</w:t>
      </w:r>
    </w:p>
    <w:p w14:paraId="33163045">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color w:val="auto"/>
          <w:lang w:val="en-US" w:eastAsia="zh-CN"/>
        </w:rPr>
      </w:pPr>
      <w:r>
        <w:rPr>
          <w:rFonts w:hint="eastAsia"/>
          <w:color w:val="auto"/>
          <w:lang w:val="en-US" w:eastAsia="zh-CN"/>
        </w:rPr>
        <w:t>本标准适用于工业节能技术改造项目节能量的计算。</w:t>
      </w:r>
    </w:p>
    <w:p w14:paraId="3080E666">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eastAsia"/>
          <w:color w:val="auto"/>
          <w:lang w:val="en-US" w:eastAsia="zh-CN"/>
        </w:rPr>
      </w:pPr>
      <w:r>
        <w:rPr>
          <w:rFonts w:hint="eastAsia"/>
          <w:color w:val="auto"/>
          <w:lang w:val="en-US" w:eastAsia="zh-CN"/>
        </w:rPr>
        <w:t>（一）术语和定义</w:t>
      </w:r>
    </w:p>
    <w:p w14:paraId="58656986">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color w:val="auto"/>
          <w:lang w:val="en-US" w:eastAsia="zh-CN"/>
        </w:rPr>
        <w:t>在GB/T 28750-2012、GB/T 2589-2020等基础标准界定的术语基础上，对工业技术改造项目、节能量、基期、统计报告期进行了定义和注记，明确</w:t>
      </w:r>
      <w:r>
        <w:rPr>
          <w:rFonts w:hint="eastAsia" w:ascii="仿宋_GB2312" w:hAnsi="仿宋_GB2312" w:eastAsia="仿宋_GB2312" w:cs="仿宋_GB2312"/>
          <w:color w:val="0000FF"/>
          <w:kern w:val="0"/>
          <w:sz w:val="32"/>
          <w:szCs w:val="32"/>
          <w:lang w:val="en-US" w:eastAsia="zh-CN" w:bidi="ar-SA"/>
        </w:rPr>
        <w:t>工业节能技术改造项目</w:t>
      </w:r>
      <w:r>
        <w:rPr>
          <w:rFonts w:hint="eastAsia"/>
          <w:color w:val="auto"/>
          <w:lang w:val="en-US" w:eastAsia="zh-CN"/>
        </w:rPr>
        <w:t>术语为“</w:t>
      </w:r>
      <w:r>
        <w:rPr>
          <w:rFonts w:hint="eastAsia" w:ascii="仿宋_GB2312" w:hAnsi="仿宋_GB2312" w:eastAsia="仿宋_GB2312" w:cs="仿宋_GB2312"/>
          <w:color w:val="0000FF"/>
          <w:kern w:val="0"/>
          <w:sz w:val="32"/>
          <w:szCs w:val="32"/>
          <w:lang w:val="en-US" w:eastAsia="zh-CN" w:bidi="ar-SA"/>
        </w:rPr>
        <w:t>工业企</w:t>
      </w:r>
      <w:r>
        <w:rPr>
          <w:rFonts w:hint="eastAsia"/>
          <w:color w:val="auto"/>
          <w:lang w:val="en-US" w:eastAsia="zh-CN"/>
        </w:rPr>
        <w:t>业通过改进既有生产工艺、设备及系统</w:t>
      </w:r>
      <w:r>
        <w:rPr>
          <w:rFonts w:hint="eastAsia"/>
          <w:color w:val="auto"/>
          <w:highlight w:val="none"/>
          <w:lang w:val="en-US" w:eastAsia="zh-CN"/>
        </w:rPr>
        <w:t>实现能源节约</w:t>
      </w:r>
      <w:r>
        <w:rPr>
          <w:rFonts w:hint="eastAsia"/>
          <w:color w:val="auto"/>
          <w:lang w:val="en-US" w:eastAsia="zh-CN"/>
        </w:rPr>
        <w:t>的技术改造项目”；</w:t>
      </w:r>
      <w:r>
        <w:rPr>
          <w:rFonts w:hint="eastAsia"/>
          <w:color w:val="auto"/>
          <w:highlight w:val="none"/>
          <w:lang w:val="en-US" w:eastAsia="zh-CN"/>
        </w:rPr>
        <w:t>节能量术语</w:t>
      </w:r>
      <w:r>
        <w:rPr>
          <w:rFonts w:hint="eastAsia"/>
          <w:color w:val="auto"/>
          <w:lang w:val="en-US" w:eastAsia="zh-CN"/>
        </w:rPr>
        <w:t>为“</w:t>
      </w:r>
      <w:r>
        <w:rPr>
          <w:rFonts w:hint="eastAsia" w:ascii="仿宋_GB2312" w:hAnsi="仿宋_GB2312" w:eastAsia="仿宋_GB2312" w:cs="仿宋_GB2312"/>
          <w:color w:val="0000FF"/>
          <w:kern w:val="0"/>
          <w:sz w:val="32"/>
          <w:szCs w:val="32"/>
          <w:lang w:val="en-US" w:eastAsia="zh-CN" w:bidi="ar-SA"/>
        </w:rPr>
        <w:t>节能量是指项目节能措施实施并正常稳定运行后，项目边界内的用能单位或用能设备、系统能源消耗减少的数量”。根据GB/T 13234-2018，基期和报告期“通常选择一年作为周期”，短于一年“适用于比较短的季节性强的情形”，“当一个自然年的能源消耗不具有典型性时，应选择超过一年的长周期”，结合本地区工业项目除少数行业（如制糖）外，选择一年作为周期更具代表性，因此基期术语注明“项目实施前，原则上连续12个月”；同时，为了本标准能够作为地区</w:t>
      </w:r>
      <w:r>
        <w:rPr>
          <w:rFonts w:hint="default" w:ascii="仿宋_GB2312" w:hAnsi="仿宋_GB2312" w:eastAsia="仿宋_GB2312" w:cs="仿宋_GB2312"/>
          <w:color w:val="0000FF"/>
          <w:kern w:val="0"/>
          <w:sz w:val="32"/>
          <w:szCs w:val="32"/>
          <w:lang w:val="en-US" w:eastAsia="zh-CN" w:bidi="ar-SA"/>
        </w:rPr>
        <w:t>节能技术改造</w:t>
      </w:r>
      <w:r>
        <w:rPr>
          <w:rFonts w:hint="eastAsia" w:ascii="仿宋_GB2312" w:hAnsi="仿宋_GB2312" w:eastAsia="仿宋_GB2312" w:cs="仿宋_GB2312"/>
          <w:color w:val="0000FF"/>
          <w:kern w:val="0"/>
          <w:sz w:val="32"/>
          <w:szCs w:val="32"/>
          <w:lang w:val="en-US" w:eastAsia="zh-CN" w:bidi="ar-SA"/>
        </w:rPr>
        <w:t>项目</w:t>
      </w:r>
      <w:r>
        <w:rPr>
          <w:rFonts w:hint="default" w:ascii="仿宋_GB2312" w:hAnsi="仿宋_GB2312" w:eastAsia="仿宋_GB2312" w:cs="仿宋_GB2312"/>
          <w:color w:val="0000FF"/>
          <w:kern w:val="0"/>
          <w:sz w:val="32"/>
          <w:szCs w:val="32"/>
          <w:lang w:val="en-US" w:eastAsia="zh-CN" w:bidi="ar-SA"/>
        </w:rPr>
        <w:t>财政奖励</w:t>
      </w:r>
      <w:r>
        <w:rPr>
          <w:rFonts w:hint="eastAsia" w:ascii="仿宋_GB2312" w:hAnsi="仿宋_GB2312" w:eastAsia="仿宋_GB2312" w:cs="仿宋_GB2312"/>
          <w:color w:val="0000FF"/>
          <w:kern w:val="0"/>
          <w:sz w:val="32"/>
          <w:szCs w:val="32"/>
          <w:lang w:val="en-US" w:eastAsia="zh-CN" w:bidi="ar-SA"/>
        </w:rPr>
        <w:t>资金验收的指导依据，结合本地区验收管理要求，统计报告期术语注明“项目实施后，原则上连续3个月以上”。</w:t>
      </w:r>
    </w:p>
    <w:p w14:paraId="208AA743">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eastAsia"/>
          <w:color w:val="auto"/>
          <w:lang w:val="en-US" w:eastAsia="zh-CN"/>
        </w:rPr>
      </w:pPr>
      <w:r>
        <w:rPr>
          <w:rFonts w:hint="eastAsia"/>
          <w:color w:val="auto"/>
          <w:lang w:val="en-US" w:eastAsia="zh-CN"/>
        </w:rPr>
        <w:t>（二）节能量确定原则</w:t>
      </w:r>
    </w:p>
    <w:p w14:paraId="7325A6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eastAsia" w:ascii="Times New Roman" w:hAnsi="Times New Roman" w:cs="宋体"/>
          <w:color w:val="auto"/>
          <w:kern w:val="0"/>
          <w:sz w:val="32"/>
          <w:szCs w:val="24"/>
          <w:lang w:val="en-US" w:eastAsia="zh-CN" w:bidi="ar-SA"/>
        </w:rPr>
      </w:pPr>
      <w:r>
        <w:rPr>
          <w:rFonts w:hint="eastAsia"/>
          <w:b w:val="0"/>
          <w:bCs w:val="0"/>
          <w:color w:val="auto"/>
          <w:lang w:val="en-US" w:eastAsia="zh-CN"/>
        </w:rPr>
        <w:t>根据</w:t>
      </w:r>
      <w:r>
        <w:rPr>
          <w:rFonts w:hint="eastAsia" w:ascii="Times New Roman" w:hAnsi="Times New Roman" w:cs="Times New Roman"/>
          <w:b w:val="0"/>
          <w:bCs w:val="0"/>
          <w:color w:val="auto"/>
          <w:kern w:val="2"/>
          <w:sz w:val="32"/>
          <w:szCs w:val="24"/>
          <w:lang w:val="en-US" w:eastAsia="zh-CN" w:bidi="ar-SA"/>
        </w:rPr>
        <w:t>国家发展改革委、财政部发布的《节能项目节能量审核指南》（发改环资〔2008〕704号）中“附件一《节能量确定和监测方法》”</w:t>
      </w:r>
      <w:r>
        <w:rPr>
          <w:rFonts w:hint="eastAsia"/>
          <w:color w:val="auto"/>
          <w:lang w:val="en-US" w:eastAsia="zh-CN"/>
        </w:rPr>
        <w:t>，</w:t>
      </w:r>
      <w:r>
        <w:rPr>
          <w:rFonts w:hint="eastAsia" w:ascii="Times New Roman" w:hAnsi="Times New Roman" w:eastAsia="仿宋_GB2312" w:cs="宋体"/>
          <w:color w:val="auto"/>
          <w:kern w:val="0"/>
          <w:sz w:val="32"/>
          <w:szCs w:val="24"/>
          <w:lang w:val="en-US" w:eastAsia="zh-CN" w:bidi="ar-SA"/>
        </w:rPr>
        <w:t>明确节能量确定三大原则</w:t>
      </w:r>
      <w:r>
        <w:rPr>
          <w:rFonts w:hint="eastAsia" w:ascii="Times New Roman" w:hAnsi="Times New Roman" w:cs="宋体"/>
          <w:color w:val="auto"/>
          <w:kern w:val="0"/>
          <w:sz w:val="32"/>
          <w:szCs w:val="24"/>
          <w:lang w:val="en-US" w:eastAsia="zh-CN" w:bidi="ar-SA"/>
        </w:rPr>
        <w:t>。</w:t>
      </w:r>
    </w:p>
    <w:p w14:paraId="087BA5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default" w:ascii="仿宋_GB2312" w:hAnsi="仿宋_GB2312" w:eastAsia="仿宋_GB2312" w:cs="仿宋_GB2312"/>
          <w:color w:val="0000FF"/>
          <w:kern w:val="0"/>
          <w:sz w:val="32"/>
          <w:szCs w:val="32"/>
          <w:lang w:val="en-US" w:eastAsia="zh-CN" w:bidi="ar-SA"/>
        </w:rPr>
      </w:pPr>
      <w:r>
        <w:rPr>
          <w:rFonts w:hint="eastAsia" w:ascii="Times New Roman" w:hAnsi="Times New Roman" w:eastAsia="仿宋_GB2312" w:cs="宋体"/>
          <w:color w:val="auto"/>
          <w:kern w:val="0"/>
          <w:sz w:val="32"/>
          <w:szCs w:val="24"/>
          <w:lang w:val="en-US" w:eastAsia="zh-CN" w:bidi="ar-SA"/>
        </w:rPr>
        <w:t>一是</w:t>
      </w:r>
      <w:r>
        <w:rPr>
          <w:rFonts w:hint="eastAsia"/>
          <w:color w:val="auto"/>
          <w:lang w:eastAsia="zh-CN"/>
        </w:rPr>
        <w:t>应排除扩大生产能力、调整产品结构等途径产生的节能效果</w:t>
      </w:r>
      <w:r>
        <w:rPr>
          <w:rFonts w:hint="eastAsia" w:ascii="Times New Roman" w:hAnsi="Times New Roman" w:eastAsia="仿宋_GB2312" w:cs="宋体"/>
          <w:color w:val="auto"/>
          <w:kern w:val="0"/>
          <w:sz w:val="32"/>
          <w:szCs w:val="24"/>
          <w:lang w:val="en-US" w:eastAsia="zh-CN" w:bidi="ar-SA"/>
        </w:rPr>
        <w:t>。</w:t>
      </w:r>
      <w:r>
        <w:rPr>
          <w:rFonts w:hint="eastAsia" w:ascii="仿宋_GB2312" w:hAnsi="仿宋_GB2312" w:eastAsia="仿宋_GB2312" w:cs="仿宋_GB2312"/>
          <w:color w:val="0000FF"/>
          <w:kern w:val="0"/>
          <w:sz w:val="32"/>
          <w:szCs w:val="32"/>
          <w:lang w:val="en-US" w:eastAsia="zh-CN" w:bidi="ar-SA"/>
        </w:rPr>
        <w:t>如电弧炉炼钢行业，采用扩大生产能力的70t电弧炉代替30吨电弧炉，生产每吨钢水可节约能耗约6千克标准煤；铁合金行业在主要生产工艺和设备基本不变的情况下，由生产高碳铬铁改为生产高碳锰铁，单位产品能耗可降低约190千克标准煤。以上项目均可以有效降低单位产品能耗，但均不是“通过改进既有生产工艺、设备及系统实现能源节约”，而是以扩产能或调整产品结构为主要目的，因此不适用于本标准。但某钢铁企业如果通过上大压小的技改方案，采用1台70t电弧炉代替现有2台35t电弧炉，在不增加产能的情况下实现节能降耗，则属于本标准适用范围。</w:t>
      </w:r>
    </w:p>
    <w:p w14:paraId="774BEE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default" w:ascii="Times New Roman" w:hAnsi="Times New Roman" w:eastAsia="仿宋_GB2312" w:cs="宋体"/>
          <w:color w:val="4874CB" w:themeColor="accent1"/>
          <w:kern w:val="0"/>
          <w:sz w:val="32"/>
          <w:szCs w:val="24"/>
          <w:lang w:val="en-US" w:eastAsia="zh-CN" w:bidi="ar-SA"/>
          <w14:textFill>
            <w14:solidFill>
              <w14:schemeClr w14:val="accent1"/>
            </w14:solidFill>
          </w14:textFill>
        </w:rPr>
      </w:pPr>
      <w:r>
        <w:rPr>
          <w:rFonts w:hint="eastAsia" w:ascii="Times New Roman" w:hAnsi="Times New Roman" w:eastAsia="仿宋_GB2312" w:cs="宋体"/>
          <w:color w:val="auto"/>
          <w:kern w:val="0"/>
          <w:sz w:val="32"/>
          <w:szCs w:val="24"/>
          <w:lang w:val="en-US" w:eastAsia="zh-CN" w:bidi="ar-SA"/>
        </w:rPr>
        <w:t>二是</w:t>
      </w:r>
      <w:r>
        <w:rPr>
          <w:rFonts w:hint="eastAsia"/>
          <w:color w:val="auto"/>
          <w:lang w:eastAsia="zh-CN"/>
        </w:rPr>
        <w:t>根据项目改造主体的典型工况和项目边界内数据计量统计情况选择节能量计算方法，</w:t>
      </w:r>
      <w:r>
        <w:rPr>
          <w:rFonts w:hint="eastAsia"/>
          <w:lang w:eastAsia="zh-CN"/>
        </w:rPr>
        <w:t>对于缺乏有效数据来源的项目不予计算节能量</w:t>
      </w:r>
      <w:r>
        <w:rPr>
          <w:rFonts w:hint="eastAsia" w:ascii="Times New Roman" w:hAnsi="Times New Roman" w:eastAsia="仿宋_GB2312" w:cs="宋体"/>
          <w:color w:val="auto"/>
          <w:kern w:val="0"/>
          <w:sz w:val="32"/>
          <w:szCs w:val="24"/>
          <w:lang w:val="en-US" w:eastAsia="zh-CN" w:bidi="ar-SA"/>
        </w:rPr>
        <w:t>。</w:t>
      </w:r>
      <w:r>
        <w:rPr>
          <w:rFonts w:hint="eastAsia" w:ascii="仿宋_GB2312" w:hAnsi="仿宋_GB2312" w:eastAsia="仿宋_GB2312" w:cs="仿宋_GB2312"/>
          <w:color w:val="0000FF"/>
          <w:kern w:val="0"/>
          <w:sz w:val="32"/>
          <w:szCs w:val="32"/>
          <w:lang w:val="en-US" w:eastAsia="zh-CN" w:bidi="ar-SA"/>
        </w:rPr>
        <w:t>例如某锅炉节能技改项目，改造内容之一，是通过提高二次风机功率，加大二次风量配比，实现燃烧效率提高，燃料减少，此时项目边界应包含风机改造内容带来的电耗增加，而不只是锅炉燃料消耗量的减少。另外，改造前后锅炉运行典型工况为约80%负荷率，锅炉热效率为84%，改造后锅炉95%负荷时的测试热效率为90%，而对应实际80%生产负荷的热效率为87%，则应采用80%典型生产负荷进行数据统计，计算改造前后的节能量；当缺少该典型工况下的运行数据时，不予计算节能量，而不能单凭95%负荷时的测试热效率来推算节能量。</w:t>
      </w:r>
    </w:p>
    <w:p w14:paraId="2811AC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default" w:ascii="仿宋_GB2312" w:hAnsi="仿宋_GB2312" w:eastAsia="仿宋_GB2312" w:cs="仿宋_GB2312"/>
          <w:color w:val="0000FF"/>
          <w:kern w:val="0"/>
          <w:sz w:val="32"/>
          <w:szCs w:val="32"/>
          <w:lang w:val="en-US" w:eastAsia="zh-CN" w:bidi="ar-SA"/>
        </w:rPr>
      </w:pPr>
      <w:r>
        <w:rPr>
          <w:rFonts w:hint="eastAsia" w:ascii="Times New Roman" w:hAnsi="Times New Roman" w:eastAsia="仿宋_GB2312" w:cs="宋体"/>
          <w:color w:val="auto"/>
          <w:kern w:val="0"/>
          <w:sz w:val="32"/>
          <w:szCs w:val="24"/>
          <w:lang w:val="en-US" w:eastAsia="zh-CN" w:bidi="ar-SA"/>
        </w:rPr>
        <w:t>三是</w:t>
      </w:r>
      <w:r>
        <w:rPr>
          <w:rFonts w:hint="eastAsia" w:ascii="Times New Roman" w:hAnsi="Times New Roman" w:cs="宋体"/>
          <w:color w:val="auto"/>
          <w:kern w:val="0"/>
          <w:sz w:val="32"/>
          <w:szCs w:val="24"/>
          <w:lang w:val="en-US" w:eastAsia="zh-CN" w:bidi="ar-SA"/>
        </w:rPr>
        <w:t>存在</w:t>
      </w:r>
      <w:r>
        <w:rPr>
          <w:rFonts w:hint="eastAsia" w:ascii="Times New Roman" w:hAnsi="Times New Roman" w:eastAsia="仿宋_GB2312" w:cs="宋体"/>
          <w:color w:val="auto"/>
          <w:kern w:val="0"/>
          <w:sz w:val="32"/>
          <w:szCs w:val="24"/>
          <w:lang w:val="en-US" w:eastAsia="zh-CN" w:bidi="ar-SA"/>
        </w:rPr>
        <w:t>多种方法计算时，遵循保守性原则，取数值较小</w:t>
      </w:r>
      <w:r>
        <w:rPr>
          <w:rFonts w:hint="eastAsia" w:ascii="Times New Roman" w:hAnsi="Times New Roman" w:cs="宋体"/>
          <w:color w:val="auto"/>
          <w:kern w:val="0"/>
          <w:sz w:val="32"/>
          <w:szCs w:val="24"/>
          <w:lang w:val="en-US" w:eastAsia="zh-CN" w:bidi="ar-SA"/>
        </w:rPr>
        <w:t>的</w:t>
      </w:r>
      <w:r>
        <w:rPr>
          <w:rFonts w:hint="eastAsia" w:ascii="Times New Roman" w:hAnsi="Times New Roman" w:eastAsia="仿宋_GB2312" w:cs="宋体"/>
          <w:color w:val="auto"/>
          <w:kern w:val="0"/>
          <w:sz w:val="32"/>
          <w:szCs w:val="24"/>
          <w:lang w:val="en-US" w:eastAsia="zh-CN" w:bidi="ar-SA"/>
        </w:rPr>
        <w:t>结果</w:t>
      </w:r>
      <w:r>
        <w:rPr>
          <w:rFonts w:hint="eastAsia" w:ascii="Times New Roman" w:hAnsi="Times New Roman" w:cs="宋体"/>
          <w:color w:val="auto"/>
          <w:kern w:val="0"/>
          <w:sz w:val="32"/>
          <w:szCs w:val="24"/>
          <w:lang w:val="en-US" w:eastAsia="zh-CN" w:bidi="ar-SA"/>
        </w:rPr>
        <w:t>。</w:t>
      </w:r>
      <w:r>
        <w:rPr>
          <w:rFonts w:hint="eastAsia" w:ascii="仿宋_GB2312" w:hAnsi="仿宋_GB2312" w:eastAsia="仿宋_GB2312" w:cs="仿宋_GB2312"/>
          <w:color w:val="0000FF"/>
          <w:kern w:val="0"/>
          <w:sz w:val="32"/>
          <w:szCs w:val="32"/>
          <w:lang w:val="en-US" w:eastAsia="zh-CN" w:bidi="ar-SA"/>
        </w:rPr>
        <w:t>例如某水泥厂5000t/d水泥窑进行余热回收发电改造，可采用熟料单耗法或者回收能量计算法计算项目的节能量。在同样的水泥窑排烟温度下，两种方法计算的节能量一样；但是当水泥窑运行工况改变导致排烟温度升高50℃时，生产1吨熟料可多发约8kW.h电量，折算每吨熟料生产节约1千克标准煤；但是因为排烟温度的提高导致水泥窑生产每吨熟料需多消耗5.3千克燃煤，折算标准煤4.2千克。此时，采用回收能量计算法计算的节能量大于熟料单耗法计算的节能量，而用熟料单耗法计算的结果更符合整条熟料生产线实际节能效果，因此遵循保守性原则，取数值较小的结果更合理。</w:t>
      </w:r>
    </w:p>
    <w:p w14:paraId="6BE34193">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eastAsia"/>
          <w:color w:val="auto"/>
          <w:lang w:val="en-US" w:eastAsia="zh-CN"/>
        </w:rPr>
      </w:pPr>
      <w:r>
        <w:rPr>
          <w:rFonts w:hint="eastAsia"/>
          <w:color w:val="auto"/>
          <w:lang w:val="en-US" w:eastAsia="zh-CN"/>
        </w:rPr>
        <w:t>（三）节能量计算方法</w:t>
      </w:r>
    </w:p>
    <w:p w14:paraId="55A2E51E">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本标准结合项目类型特点，在通用公式基础上细化分场景设定计算公式，明确各公式的适用范围、参数定义、单位和取值来源，确保节能技改项目能直接根据公式开展核算。</w:t>
      </w:r>
    </w:p>
    <w:p w14:paraId="4AC928E8">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1.参照GB/T 13234-2018中的归一化法，结合本地区节能技术改造财政奖励资金项目验收时限要求，本标准采用前推校准法计算节能量。同时参照GB/T 28750-2012“基期能耗-影响因素”模型法，结合本标准前推校准法，采用“报告期能耗-影响因素”建立报告期校准能耗函数进行计算。节能量计算的基本公式为：</w:t>
      </w:r>
    </w:p>
    <w:p w14:paraId="568C7B89">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节能量</w:t>
      </w:r>
      <m:oMath>
        <m:r>
          <m:rPr>
            <m:sty m:val="p"/>
          </m:rPr>
          <w:rPr>
            <w:rFonts w:hint="eastAsia" w:ascii="DejaVu Math TeX Gyre" w:hAnsi="DejaVu Math TeX Gyre" w:eastAsia="仿宋_GB2312" w:cs="仿宋_GB2312"/>
            <w:color w:val="0000FF"/>
            <w:kern w:val="0"/>
            <w:sz w:val="32"/>
            <w:szCs w:val="32"/>
            <w:lang w:val="en-US" w:eastAsia="zh-CN" w:bidi="ar-SA"/>
          </w:rPr>
          <m:t>△E</m:t>
        </m:r>
      </m:oMath>
      <w:r>
        <w:rPr>
          <w:rFonts w:hint="eastAsia" w:ascii="仿宋_GB2312" w:hAnsi="仿宋_GB2312" w:eastAsia="仿宋_GB2312" w:cs="仿宋_GB2312"/>
          <w:color w:val="0000FF"/>
          <w:kern w:val="0"/>
          <w:sz w:val="32"/>
          <w:szCs w:val="32"/>
          <w:lang w:val="en-US" w:eastAsia="zh-CN" w:bidi="ar-SA"/>
        </w:rPr>
        <w:t>=基期能源消费量</w:t>
      </w: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eastAsia"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oMath>
      <w:r>
        <w:rPr>
          <w:rFonts w:hint="eastAsia" w:ascii="仿宋_GB2312" w:hAnsi="仿宋_GB2312" w:eastAsia="仿宋_GB2312" w:cs="仿宋_GB2312"/>
          <w:color w:val="0000FF"/>
          <w:kern w:val="0"/>
          <w:sz w:val="32"/>
          <w:szCs w:val="32"/>
          <w:lang w:val="en-US" w:eastAsia="zh-CN" w:bidi="ar-SA"/>
        </w:rPr>
        <w:t>－前推校准后的报告期能源消费量</w:t>
      </w: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r</m:t>
            </m:r>
            <m:ctrlPr>
              <w:rPr>
                <w:rFonts w:hint="eastAsia" w:ascii="DejaVu Math TeX Gyre" w:hAnsi="DejaVu Math TeX Gyre" w:eastAsia="仿宋_GB2312" w:cs="仿宋_GB2312"/>
                <w:color w:val="0000FF"/>
                <w:kern w:val="0"/>
                <w:sz w:val="32"/>
                <w:szCs w:val="32"/>
                <w:lang w:val="en-US" w:eastAsia="zh-CN" w:bidi="ar-SA"/>
              </w:rPr>
            </m:ctrlPr>
          </m:sub>
        </m:sSub>
      </m:oMath>
    </w:p>
    <w:p w14:paraId="7B8B99B9">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（1）产品（处置）单耗法。对于产品结构或处置方法单一，且无明显产能扩大的项目，其能耗与产量或处置量成正比例关系，通过产量或处置量（</w:t>
      </w:r>
      <m:oMath>
        <m:r>
          <m:rPr>
            <m:sty m:val="p"/>
          </m:rPr>
          <w:rPr>
            <w:rFonts w:hint="default" w:ascii="DejaVu Math TeX Gyre" w:hAnsi="DejaVu Math TeX Gyre" w:eastAsia="仿宋_GB2312" w:cs="仿宋_GB2312"/>
            <w:color w:val="0000FF"/>
            <w:kern w:val="0"/>
            <w:sz w:val="32"/>
            <w:szCs w:val="32"/>
            <w:lang w:val="en-US" w:eastAsia="zh-CN" w:bidi="ar-SA"/>
          </w:rPr>
          <m:t>G</m:t>
        </m:r>
      </m:oMath>
      <w:r>
        <w:rPr>
          <w:rFonts w:hint="eastAsia" w:ascii="仿宋_GB2312" w:hAnsi="仿宋_GB2312" w:eastAsia="仿宋_GB2312" w:cs="仿宋_GB2312"/>
          <w:color w:val="0000FF"/>
          <w:kern w:val="0"/>
          <w:sz w:val="32"/>
          <w:szCs w:val="32"/>
          <w:lang w:val="en-US" w:eastAsia="zh-CN" w:bidi="ar-SA"/>
        </w:rPr>
        <w:t>）进行归一化。参照</w:t>
      </w:r>
      <w:r>
        <w:rPr>
          <w:rFonts w:hint="default" w:ascii="仿宋_GB2312" w:hAnsi="仿宋_GB2312" w:eastAsia="仿宋_GB2312" w:cs="仿宋_GB2312"/>
          <w:color w:val="0000FF"/>
          <w:kern w:val="0"/>
          <w:sz w:val="32"/>
          <w:szCs w:val="32"/>
          <w:lang w:val="en-US" w:eastAsia="zh-CN" w:bidi="ar-SA"/>
        </w:rPr>
        <w:t>GB/T 2589</w:t>
      </w:r>
      <w:r>
        <w:rPr>
          <w:rFonts w:hint="eastAsia" w:ascii="仿宋_GB2312" w:hAnsi="仿宋_GB2312" w:eastAsia="仿宋_GB2312" w:cs="仿宋_GB2312"/>
          <w:color w:val="0000FF"/>
          <w:kern w:val="0"/>
          <w:sz w:val="32"/>
          <w:szCs w:val="32"/>
          <w:lang w:val="en-US" w:eastAsia="zh-CN" w:bidi="ar-SA"/>
        </w:rPr>
        <w:t>-2020单位产品综合能耗计算公式，采用“报告期能耗-影响因素”建立报告期校准能耗公式为：</w:t>
      </w:r>
    </w:p>
    <w:p w14:paraId="1DB5692A">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仿宋_GB2312" w:eastAsia="仿宋_GB2312" w:cs="仿宋_GB2312"/>
          <w:color w:val="0000FF"/>
          <w:kern w:val="0"/>
          <w:sz w:val="32"/>
          <w:szCs w:val="32"/>
          <w:lang w:val="en-US" w:eastAsia="zh-CN" w:bidi="ar-SA"/>
        </w:rPr>
      </w:pPr>
      <m:oMathPara>
        <m:oMathParaPr>
          <m:jc m:val="center"/>
        </m:oMathParaP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eastAsia" w:ascii="DejaVu Math TeX Gyre" w:hAnsi="DejaVu Math TeX Gyre" w:eastAsia="仿宋_GB2312" w:cs="仿宋_GB2312"/>
                  <w:color w:val="0000FF"/>
                  <w:kern w:val="0"/>
                  <w:sz w:val="32"/>
                  <w:szCs w:val="32"/>
                  <w:lang w:val="en-US" w:eastAsia="zh-CN" w:bidi="ar-SA"/>
                </w:rPr>
                <m:t>r</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eastAsia" w:ascii="DejaVu Math TeX Gyre" w:hAnsi="DejaVu Math TeX Gyre" w:eastAsia="仿宋_GB2312" w:cs="仿宋_GB2312"/>
              <w:color w:val="0000FF"/>
              <w:kern w:val="0"/>
              <w:sz w:val="32"/>
              <w:szCs w:val="32"/>
              <w:lang w:val="en-US" w:eastAsia="zh-CN" w:bidi="ar-SA"/>
            </w:rPr>
            <m:t>=</m:t>
          </m:r>
          <m:f>
            <m:fPr>
              <m:ctrlPr>
                <w:rPr>
                  <w:rFonts w:hint="eastAsia" w:ascii="DejaVu Math TeX Gyre" w:hAnsi="DejaVu Math TeX Gyre" w:eastAsia="仿宋_GB2312" w:cs="仿宋_GB2312"/>
                  <w:color w:val="0000FF"/>
                  <w:kern w:val="0"/>
                  <w:sz w:val="32"/>
                  <w:szCs w:val="32"/>
                  <w:lang w:val="en-US" w:eastAsia="zh-CN" w:bidi="ar-SA"/>
                </w:rPr>
              </m:ctrlPr>
            </m:fPr>
            <m:num>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num>
            <m:den>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r>
            <m:rPr>
              <m:sty m:val="p"/>
            </m:rPr>
            <w:rPr>
              <w:rFonts w:hint="default" w:ascii="DejaVu Math TeX Gyre" w:hAnsi="DejaVu Math TeX Gyre" w:eastAsia="仿宋_GB2312" w:cs="仿宋_GB2312"/>
              <w:color w:val="0000FF"/>
              <w:kern w:val="0"/>
              <w:sz w:val="32"/>
              <w:szCs w:val="32"/>
              <w:lang w:val="en-US" w:eastAsia="zh-CN" w:bidi="ar-SA"/>
            </w:rPr>
            <m:t>G</m:t>
          </m:r>
        </m:oMath>
      </m:oMathPara>
    </w:p>
    <w:p w14:paraId="7D6C1AB1">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将影响因素</w:t>
      </w:r>
      <m:oMath>
        <m:r>
          <m:rPr>
            <m:sty m:val="p"/>
          </m:rPr>
          <w:rPr>
            <w:rFonts w:hint="default" w:ascii="DejaVu Math TeX Gyre" w:hAnsi="DejaVu Math TeX Gyre" w:eastAsia="仿宋_GB2312" w:cs="仿宋_GB2312"/>
            <w:color w:val="0000FF"/>
            <w:kern w:val="0"/>
            <w:sz w:val="32"/>
            <w:szCs w:val="32"/>
            <w:lang w:val="en-US" w:eastAsia="zh-CN" w:bidi="ar-SA"/>
          </w:rPr>
          <m:t>G</m:t>
        </m:r>
      </m:oMath>
      <w:r>
        <w:rPr>
          <w:rFonts w:hint="eastAsia" w:ascii="仿宋_GB2312" w:hAnsi="仿宋_GB2312" w:eastAsia="仿宋_GB2312" w:cs="仿宋_GB2312"/>
          <w:color w:val="0000FF"/>
          <w:kern w:val="0"/>
          <w:sz w:val="32"/>
          <w:szCs w:val="32"/>
          <w:lang w:val="en-US" w:eastAsia="zh-CN" w:bidi="ar-SA"/>
        </w:rPr>
        <w:t>对应的基期产量</w:t>
      </w: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oMath>
      <w:r>
        <w:rPr>
          <w:rFonts w:hint="eastAsia" w:ascii="仿宋_GB2312" w:hAnsi="仿宋_GB2312" w:eastAsia="仿宋_GB2312" w:cs="仿宋_GB2312"/>
          <w:color w:val="0000FF"/>
          <w:kern w:val="0"/>
          <w:sz w:val="32"/>
          <w:szCs w:val="32"/>
          <w:lang w:val="en-US" w:eastAsia="zh-CN" w:bidi="ar-SA"/>
        </w:rPr>
        <w:t>代入报告期校准能耗公式，得到报告期校准能耗，即统计报告期能源消费量为：</w:t>
      </w:r>
    </w:p>
    <w:p w14:paraId="3CEA5747">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m:oMathPara>
        <m:oMathParaPr>
          <m:jc m:val="center"/>
        </m:oMathParaP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r</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eastAsia" w:ascii="DejaVu Math TeX Gyre" w:hAnsi="DejaVu Math TeX Gyre" w:eastAsia="仿宋_GB2312" w:cs="仿宋_GB2312"/>
              <w:color w:val="0000FF"/>
              <w:kern w:val="0"/>
              <w:sz w:val="32"/>
              <w:szCs w:val="32"/>
              <w:lang w:val="en-US" w:eastAsia="zh-CN" w:bidi="ar-SA"/>
            </w:rPr>
            <m:t>=</m:t>
          </m:r>
          <m:f>
            <m:fPr>
              <m:ctrlPr>
                <w:rPr>
                  <w:rFonts w:hint="eastAsia" w:ascii="DejaVu Math TeX Gyre" w:hAnsi="DejaVu Math TeX Gyre" w:eastAsia="仿宋_GB2312" w:cs="仿宋_GB2312"/>
                  <w:color w:val="0000FF"/>
                  <w:kern w:val="0"/>
                  <w:sz w:val="32"/>
                  <w:szCs w:val="32"/>
                  <w:lang w:val="en-US" w:eastAsia="zh-CN" w:bidi="ar-SA"/>
                </w:rPr>
              </m:ctrlPr>
            </m:fPr>
            <m:num>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num>
            <m:den>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oMath>
      </m:oMathPara>
    </w:p>
    <w:p w14:paraId="687FF16F">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再将</w:t>
      </w: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eastAsia" w:ascii="DejaVu Math TeX Gyre" w:hAnsi="DejaVu Math TeX Gyre" w:eastAsia="仿宋_GB2312" w:cs="仿宋_GB2312"/>
                <w:color w:val="0000FF"/>
                <w:kern w:val="0"/>
                <w:sz w:val="32"/>
                <w:szCs w:val="32"/>
                <w:lang w:val="en-US" w:eastAsia="zh-CN" w:bidi="ar-SA"/>
              </w:rPr>
              <m:t>r</m:t>
            </m:r>
            <m:ctrlPr>
              <w:rPr>
                <w:rFonts w:hint="eastAsia" w:ascii="DejaVu Math TeX Gyre" w:hAnsi="DejaVu Math TeX Gyre" w:eastAsia="仿宋_GB2312" w:cs="仿宋_GB2312"/>
                <w:color w:val="0000FF"/>
                <w:kern w:val="0"/>
                <w:sz w:val="32"/>
                <w:szCs w:val="32"/>
                <w:lang w:val="en-US" w:eastAsia="zh-CN" w:bidi="ar-SA"/>
              </w:rPr>
            </m:ctrlPr>
          </m:sub>
        </m:sSub>
      </m:oMath>
      <w:r>
        <w:rPr>
          <w:rFonts w:hint="eastAsia" w:ascii="仿宋_GB2312" w:hAnsi="仿宋_GB2312" w:eastAsia="仿宋_GB2312" w:cs="仿宋_GB2312"/>
          <w:color w:val="0000FF"/>
          <w:kern w:val="0"/>
          <w:sz w:val="32"/>
          <w:szCs w:val="32"/>
          <w:lang w:val="en-US" w:eastAsia="zh-CN" w:bidi="ar-SA"/>
        </w:rPr>
        <w:t>代入节能量计算公式，则有产品（处置）单耗法计算公式为：</w:t>
      </w:r>
    </w:p>
    <w:p w14:paraId="7AE957BD">
      <w:pPr>
        <w:pStyle w:val="7"/>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lang w:val="en-US" w:eastAsia="zh-CN"/>
        </w:rPr>
      </w:pPr>
      <w:r>
        <w:rPr>
          <w:rFonts w:hint="eastAsia"/>
          <w:color w:val="auto"/>
          <w:lang w:val="en-US" w:eastAsia="zh-CN"/>
        </w:rPr>
        <w:tab/>
      </w:r>
      <m:oMath>
        <m:r>
          <m:rPr>
            <m:sty m:val="p"/>
          </m:rPr>
          <w:rPr>
            <w:rFonts w:hint="eastAsia" w:ascii="DejaVu Math TeX Gyre" w:hAnsi="DejaVu Math TeX Gyre"/>
            <w:color w:val="auto"/>
            <w:lang w:val="en-US" w:eastAsia="zh-CN"/>
          </w:rPr>
          <m:t>△E=</m:t>
        </m:r>
        <m:sSub>
          <m:sSubPr>
            <m:ctrlPr>
              <w:rPr>
                <w:rFonts w:hint="eastAsia" w:ascii="DejaVu Math TeX Gyre" w:hAnsi="DejaVu Math TeX Gyre"/>
                <w:b w:val="0"/>
                <w:i w:val="0"/>
                <w:color w:val="auto"/>
                <w:lang w:val="en-US" w:eastAsia="zh-CN"/>
              </w:rPr>
            </m:ctrlPr>
          </m:sSubPr>
          <m:e>
            <m:r>
              <m:rPr>
                <m:sty m:val="p"/>
              </m:rPr>
              <w:rPr>
                <w:rFonts w:hint="default" w:ascii="DejaVu Math TeX Gyre" w:hAnsi="DejaVu Math TeX Gyre"/>
                <w:color w:val="auto"/>
                <w:lang w:val="en-US" w:eastAsia="zh-CN"/>
              </w:rPr>
              <m:t>E</m:t>
            </m:r>
            <m:ctrlPr>
              <w:rPr>
                <w:rFonts w:hint="eastAsia" w:ascii="DejaVu Math TeX Gyre" w:hAnsi="DejaVu Math TeX Gyre"/>
                <w:b w:val="0"/>
                <w:i w:val="0"/>
                <w:color w:val="auto"/>
                <w:lang w:val="en-US" w:eastAsia="zh-CN"/>
              </w:rPr>
            </m:ctrlPr>
          </m:e>
          <m:sub>
            <m:r>
              <m:rPr>
                <m:sty m:val="p"/>
              </m:rPr>
              <w:rPr>
                <w:rFonts w:hint="default" w:ascii="DejaVu Math TeX Gyre" w:hAnsi="DejaVu Math TeX Gyre"/>
                <w:color w:val="auto"/>
                <w:lang w:val="en-US" w:eastAsia="zh-CN"/>
              </w:rPr>
              <m:t>0</m:t>
            </m:r>
            <m:ctrlPr>
              <w:rPr>
                <w:rFonts w:hint="eastAsia" w:ascii="DejaVu Math TeX Gyre" w:hAnsi="DejaVu Math TeX Gyre"/>
                <w:b w:val="0"/>
                <w:i w:val="0"/>
                <w:color w:val="auto"/>
                <w:lang w:val="en-US" w:eastAsia="zh-CN"/>
              </w:rPr>
            </m:ctrlPr>
          </m:sub>
        </m:sSub>
        <m:r>
          <m:rPr>
            <m:sty m:val="p"/>
          </m:rPr>
          <w:rPr>
            <w:rFonts w:hint="default" w:ascii="DejaVu Math TeX Gyre" w:hAnsi="DejaVu Math TeX Gyre"/>
            <w:color w:val="auto"/>
            <w:lang w:val="en-US" w:eastAsia="zh-CN"/>
          </w:rPr>
          <m:t>−</m:t>
        </m:r>
        <m:sSub>
          <m:sSubPr>
            <m:ctrlPr>
              <w:rPr>
                <w:rFonts w:hint="default" w:ascii="DejaVu Math TeX Gyre" w:hAnsi="DejaVu Math TeX Gyre"/>
                <w:b w:val="0"/>
                <w:i w:val="0"/>
                <w:color w:val="auto"/>
                <w:lang w:val="en-US" w:eastAsia="zh-CN"/>
              </w:rPr>
            </m:ctrlPr>
          </m:sSubPr>
          <m:e>
            <m:r>
              <m:rPr>
                <m:sty m:val="p"/>
              </m:rPr>
              <w:rPr>
                <w:rFonts w:hint="default" w:ascii="DejaVu Math TeX Gyre" w:hAnsi="DejaVu Math TeX Gyre"/>
                <w:color w:val="auto"/>
                <w:lang w:val="en-US" w:eastAsia="zh-CN"/>
              </w:rPr>
              <m:t>E</m:t>
            </m:r>
            <m:ctrlPr>
              <w:rPr>
                <w:rFonts w:hint="default" w:ascii="DejaVu Math TeX Gyre" w:hAnsi="DejaVu Math TeX Gyre"/>
                <w:b w:val="0"/>
                <w:i w:val="0"/>
                <w:color w:val="auto"/>
                <w:lang w:val="en-US" w:eastAsia="zh-CN"/>
              </w:rPr>
            </m:ctrlPr>
          </m:e>
          <m:sub>
            <m:r>
              <m:rPr>
                <m:sty m:val="p"/>
              </m:rPr>
              <w:rPr>
                <w:rFonts w:hint="default" w:ascii="DejaVu Math TeX Gyre" w:hAnsi="DejaVu Math TeX Gyre"/>
                <w:color w:val="auto"/>
                <w:lang w:val="en-US" w:eastAsia="zh-CN"/>
              </w:rPr>
              <m:t>r</m:t>
            </m:r>
            <m:ctrlPr>
              <w:rPr>
                <w:rFonts w:hint="default" w:ascii="DejaVu Math TeX Gyre" w:hAnsi="DejaVu Math TeX Gyre"/>
                <w:b w:val="0"/>
                <w:i w:val="0"/>
                <w:color w:val="auto"/>
                <w:lang w:val="en-US" w:eastAsia="zh-CN"/>
              </w:rPr>
            </m:ctrlPr>
          </m:sub>
        </m:sSub>
        <m:r>
          <m:rPr>
            <m:sty m:val="p"/>
          </m:rPr>
          <w:rPr>
            <w:rFonts w:hint="default" w:ascii="DejaVu Math TeX Gyre" w:hAnsi="DejaVu Math TeX Gyre"/>
            <w:color w:val="auto"/>
            <w:lang w:val="en-US" w:eastAsia="zh-CN"/>
          </w:rPr>
          <m:t>=</m:t>
        </m:r>
        <m:f>
          <m:fPr>
            <m:ctrlPr>
              <w:rPr>
                <w:rFonts w:hint="eastAsia" w:ascii="DejaVu Math TeX Gyre" w:hAnsi="DejaVu Math TeX Gyre" w:eastAsia="仿宋_GB2312" w:cs="仿宋_GB2312"/>
                <w:color w:val="0000FF"/>
                <w:kern w:val="0"/>
                <w:sz w:val="32"/>
                <w:szCs w:val="32"/>
                <w:lang w:val="en-US" w:eastAsia="zh-CN" w:bidi="ar-SA"/>
              </w:rPr>
            </m:ctrlPr>
          </m:fPr>
          <m:num>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num>
          <m:den>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eastAsia"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eastAsia="仿宋_GB2312" w:cs="仿宋_GB2312"/>
            <w:color w:val="0000FF"/>
            <w:kern w:val="0"/>
            <w:sz w:val="32"/>
            <w:szCs w:val="32"/>
            <w:lang w:val="en-US" w:eastAsia="zh-CN" w:bidi="ar-SA"/>
          </w:rPr>
          <m:t>−</m:t>
        </m:r>
        <m:f>
          <m:fPr>
            <m:ctrlPr>
              <w:rPr>
                <w:rFonts w:hint="eastAsia" w:ascii="DejaVu Math TeX Gyre" w:hAnsi="DejaVu Math TeX Gyre" w:eastAsia="仿宋_GB2312" w:cs="仿宋_GB2312"/>
                <w:color w:val="0000FF"/>
                <w:kern w:val="0"/>
                <w:sz w:val="32"/>
                <w:szCs w:val="32"/>
                <w:lang w:val="en-US" w:eastAsia="zh-CN" w:bidi="ar-SA"/>
              </w:rPr>
            </m:ctrlPr>
          </m:fPr>
          <m:num>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num>
          <m:den>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G</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eastAsia"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color w:val="4874CB" w:themeColor="accent1"/>
            <w:lang w:val="en-US" w:eastAsia="zh-CN"/>
            <w14:textFill>
              <w14:solidFill>
                <w14:schemeClr w14:val="accent1"/>
              </w14:solidFill>
            </w14:textFill>
          </w:rPr>
          <m:t>=</m:t>
        </m:r>
        <m:d>
          <m:dPr>
            <m:ctrlPr>
              <w:rPr>
                <w:rFonts w:hint="eastAsia" w:ascii="DejaVu Math TeX Gyre" w:hAnsi="DejaVu Math TeX Gyre"/>
                <w:color w:val="auto"/>
                <w:lang w:val="en-US" w:eastAsia="zh-CN"/>
              </w:rPr>
            </m:ctrlPr>
          </m:dPr>
          <m:e>
            <m:f>
              <m:fPr>
                <m:ctrlPr>
                  <w:rPr>
                    <w:rFonts w:hint="eastAsia" w:ascii="DejaVu Math TeX Gyre" w:hAnsi="DejaVu Math TeX Gyre"/>
                    <w:color w:val="auto"/>
                    <w:lang w:val="en-US" w:eastAsia="zh-CN"/>
                  </w:rPr>
                </m:ctrlPr>
              </m:fPr>
              <m:num>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0</m:t>
                    </m:r>
                    <m:ctrlPr>
                      <w:rPr>
                        <w:rFonts w:hint="eastAsia" w:ascii="DejaVu Math TeX Gyre" w:hAnsi="DejaVu Math TeX Gyre"/>
                        <w:color w:val="auto"/>
                        <w:lang w:val="en-US" w:eastAsia="zh-CN"/>
                      </w:rPr>
                    </m:ctrlPr>
                  </m:sub>
                </m:sSub>
                <m:ctrlPr>
                  <w:rPr>
                    <w:rFonts w:hint="eastAsia" w:ascii="DejaVu Math TeX Gyre" w:hAnsi="DejaVu Math TeX Gyre"/>
                    <w:color w:val="auto"/>
                    <w:lang w:val="en-US" w:eastAsia="zh-CN"/>
                  </w:rPr>
                </m:ctrlPr>
              </m:num>
              <m:den>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G</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0</m:t>
                    </m:r>
                    <m:ctrlPr>
                      <w:rPr>
                        <w:rFonts w:hint="eastAsia" w:ascii="DejaVu Math TeX Gyre" w:hAnsi="DejaVu Math TeX Gyre"/>
                        <w:color w:val="auto"/>
                        <w:lang w:val="en-US" w:eastAsia="zh-CN"/>
                      </w:rPr>
                    </m:ctrlPr>
                  </m:sub>
                </m:sSub>
                <m:ctrlPr>
                  <w:rPr>
                    <w:rFonts w:hint="eastAsia" w:ascii="DejaVu Math TeX Gyre" w:hAnsi="DejaVu Math TeX Gyre"/>
                    <w:color w:val="auto"/>
                    <w:lang w:val="en-US" w:eastAsia="zh-CN"/>
                  </w:rPr>
                </m:ctrlPr>
              </m:den>
            </m:f>
            <m:r>
              <m:rPr>
                <m:sty m:val="p"/>
              </m:rPr>
              <w:rPr>
                <w:rFonts w:hint="eastAsia" w:ascii="DejaVu Math TeX Gyre" w:hAnsi="DejaVu Math TeX Gyre"/>
                <w:color w:val="auto"/>
                <w:lang w:val="en-US" w:eastAsia="zh-CN"/>
              </w:rPr>
              <m:t>−</m:t>
            </m:r>
            <m:f>
              <m:fPr>
                <m:ctrlPr>
                  <w:rPr>
                    <w:rFonts w:hint="eastAsia" w:ascii="DejaVu Math TeX Gyre" w:hAnsi="DejaVu Math TeX Gyre"/>
                    <w:color w:val="auto"/>
                    <w:lang w:val="en-US" w:eastAsia="zh-CN"/>
                  </w:rPr>
                </m:ctrlPr>
              </m:fPr>
              <m:num>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1</m:t>
                    </m:r>
                    <m:ctrlPr>
                      <w:rPr>
                        <w:rFonts w:hint="eastAsia" w:ascii="DejaVu Math TeX Gyre" w:hAnsi="DejaVu Math TeX Gyre"/>
                        <w:color w:val="auto"/>
                        <w:lang w:val="en-US" w:eastAsia="zh-CN"/>
                      </w:rPr>
                    </m:ctrlPr>
                  </m:sub>
                </m:sSub>
                <m:ctrlPr>
                  <w:rPr>
                    <w:rFonts w:hint="eastAsia" w:ascii="DejaVu Math TeX Gyre" w:hAnsi="DejaVu Math TeX Gyre"/>
                    <w:color w:val="auto"/>
                    <w:lang w:val="en-US" w:eastAsia="zh-CN"/>
                  </w:rPr>
                </m:ctrlPr>
              </m:num>
              <m:den>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G</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1</m:t>
                    </m:r>
                    <m:ctrlPr>
                      <w:rPr>
                        <w:rFonts w:hint="eastAsia" w:ascii="DejaVu Math TeX Gyre" w:hAnsi="DejaVu Math TeX Gyre"/>
                        <w:color w:val="auto"/>
                        <w:lang w:val="en-US" w:eastAsia="zh-CN"/>
                      </w:rPr>
                    </m:ctrlPr>
                  </m:sub>
                </m:sSub>
                <m:ctrlPr>
                  <w:rPr>
                    <w:rFonts w:hint="eastAsia" w:ascii="DejaVu Math TeX Gyre" w:hAnsi="DejaVu Math TeX Gyre"/>
                    <w:color w:val="auto"/>
                    <w:lang w:val="en-US" w:eastAsia="zh-CN"/>
                  </w:rPr>
                </m:ctrlPr>
              </m:den>
            </m:f>
            <m:ctrlPr>
              <w:rPr>
                <w:rFonts w:hint="eastAsia" w:ascii="DejaVu Math TeX Gyre" w:hAnsi="DejaVu Math TeX Gyre"/>
                <w:color w:val="auto"/>
                <w:lang w:val="en-US" w:eastAsia="zh-CN"/>
              </w:rPr>
            </m:ctrlPr>
          </m:e>
        </m:d>
        <m:r>
          <m:rPr>
            <m:sty m:val="p"/>
          </m:rPr>
          <w:rPr>
            <w:rFonts w:hint="eastAsia" w:ascii="DejaVu Math TeX Gyre" w:hAnsi="DejaVu Math TeX Gyre"/>
            <w:color w:val="auto"/>
            <w:lang w:val="en-US" w:eastAsia="zh-CN"/>
          </w:rPr>
          <m:t>×</m:t>
        </m:r>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G</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0</m:t>
            </m:r>
            <m:ctrlPr>
              <w:rPr>
                <w:rFonts w:hint="eastAsia" w:ascii="DejaVu Math TeX Gyre" w:hAnsi="DejaVu Math TeX Gyre"/>
                <w:color w:val="auto"/>
                <w:lang w:val="en-US" w:eastAsia="zh-CN"/>
              </w:rPr>
            </m:ctrlPr>
          </m:sub>
        </m:sSub>
      </m:oMath>
      <w:r>
        <w:rPr>
          <w:rFonts w:hint="eastAsia"/>
          <w:color w:val="auto"/>
          <w:lang w:val="en-US" w:eastAsia="zh-CN"/>
        </w:rPr>
        <w:tab/>
      </w:r>
    </w:p>
    <w:p w14:paraId="301E4317">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w:r>
        <w:rPr>
          <w:rFonts w:hint="eastAsia"/>
          <w:color w:val="auto"/>
          <w:lang w:val="en-US" w:eastAsia="zh-CN"/>
        </w:rPr>
        <w:t>式中：</w:t>
      </w:r>
    </w:p>
    <w:p w14:paraId="67E97F03">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r>
          <m:rPr>
            <m:sty m:val="p"/>
          </m:rPr>
          <w:rPr>
            <w:rFonts w:hint="eastAsia" w:ascii="DejaVu Math TeX Gyre" w:hAnsi="DejaVu Math TeX Gyre"/>
            <w:color w:val="auto"/>
            <w:lang w:val="en-US" w:eastAsia="zh-CN"/>
          </w:rPr>
          <m:t>△E</m:t>
        </m:r>
      </m:oMath>
      <w:r>
        <w:rPr>
          <w:rFonts w:hint="eastAsia"/>
          <w:color w:val="auto"/>
          <w:lang w:val="en-US" w:eastAsia="zh-CN"/>
        </w:rPr>
        <w:t>——节能技术改造项目的节能量，单位为吨标准煤（tce）；</w:t>
      </w:r>
    </w:p>
    <w:p w14:paraId="5DC8232E">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0</m:t>
            </m:r>
            <m:ctrlPr>
              <w:rPr>
                <w:rFonts w:hint="eastAsia" w:ascii="DejaVu Math TeX Gyre" w:hAnsi="DejaVu Math TeX Gyre"/>
                <w:color w:val="auto"/>
                <w:lang w:val="en-US" w:eastAsia="zh-CN"/>
              </w:rPr>
            </m:ctrlPr>
          </m:sub>
        </m:sSub>
      </m:oMath>
      <w:r>
        <w:rPr>
          <w:rFonts w:hint="eastAsia"/>
          <w:color w:val="auto"/>
          <w:lang w:val="en-US" w:eastAsia="zh-CN"/>
        </w:rPr>
        <w:t>——基期能源消费量，单位为吨标准煤（tce）；</w:t>
      </w:r>
    </w:p>
    <w:p w14:paraId="586E9667">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1</m:t>
            </m:r>
            <m:ctrlPr>
              <w:rPr>
                <w:rFonts w:hint="eastAsia" w:ascii="DejaVu Math TeX Gyre" w:hAnsi="DejaVu Math TeX Gyre"/>
                <w:color w:val="auto"/>
                <w:lang w:val="en-US" w:eastAsia="zh-CN"/>
              </w:rPr>
            </m:ctrlPr>
          </m:sub>
        </m:sSub>
      </m:oMath>
      <w:r>
        <w:rPr>
          <w:rFonts w:hint="eastAsia"/>
          <w:color w:val="auto"/>
          <w:lang w:val="en-US" w:eastAsia="zh-CN"/>
        </w:rPr>
        <w:t>——统计报告期能源消费量，单位为吨标准煤（tce）；</w:t>
      </w:r>
    </w:p>
    <w:p w14:paraId="7B30CBA6">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G</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0</m:t>
            </m:r>
            <m:ctrlPr>
              <w:rPr>
                <w:rFonts w:hint="eastAsia" w:ascii="DejaVu Math TeX Gyre" w:hAnsi="DejaVu Math TeX Gyre"/>
                <w:color w:val="auto"/>
                <w:lang w:val="en-US" w:eastAsia="zh-CN"/>
              </w:rPr>
            </m:ctrlPr>
          </m:sub>
        </m:sSub>
      </m:oMath>
      <w:r>
        <w:rPr>
          <w:rFonts w:hint="eastAsia"/>
          <w:color w:val="auto"/>
          <w:lang w:val="en-US" w:eastAsia="zh-CN"/>
        </w:rPr>
        <w:t>——基期产品产量或处置量；</w:t>
      </w:r>
    </w:p>
    <w:p w14:paraId="7C01C362">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G</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1</m:t>
            </m:r>
            <m:ctrlPr>
              <w:rPr>
                <w:rFonts w:hint="eastAsia" w:ascii="DejaVu Math TeX Gyre" w:hAnsi="DejaVu Math TeX Gyre"/>
                <w:color w:val="auto"/>
                <w:lang w:val="en-US" w:eastAsia="zh-CN"/>
              </w:rPr>
            </m:ctrlPr>
          </m:sub>
        </m:sSub>
      </m:oMath>
      <w:r>
        <w:rPr>
          <w:rFonts w:hint="eastAsia"/>
          <w:color w:val="auto"/>
          <w:lang w:val="en-US" w:eastAsia="zh-CN"/>
        </w:rPr>
        <w:t>——统计报告期产品产量或处置量。</w:t>
      </w:r>
    </w:p>
    <w:p w14:paraId="7783DC32">
      <w:pPr>
        <w:pStyle w:val="7"/>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0000FF"/>
          <w:kern w:val="0"/>
          <w:sz w:val="32"/>
          <w:szCs w:val="32"/>
          <w:lang w:val="en-US" w:eastAsia="zh-CN" w:bidi="ar-SA"/>
        </w:rPr>
      </w:pPr>
      <w:bookmarkStart w:id="0" w:name="_Toc15066"/>
      <w:bookmarkStart w:id="1" w:name="_Toc12104"/>
      <w:r>
        <w:rPr>
          <w:rFonts w:hint="eastAsia" w:cs="宋体"/>
          <w:b w:val="0"/>
          <w:bCs w:val="0"/>
          <w:color w:val="auto"/>
          <w:kern w:val="0"/>
          <w:sz w:val="32"/>
          <w:szCs w:val="24"/>
          <w:lang w:val="en-US" w:eastAsia="zh-CN" w:bidi="ar-SA"/>
        </w:rPr>
        <w:t>（2）</w:t>
      </w:r>
      <w:r>
        <w:rPr>
          <w:rFonts w:hint="eastAsia"/>
          <w:b w:val="0"/>
          <w:bCs w:val="0"/>
          <w:color w:val="auto"/>
          <w:lang w:val="en-US" w:eastAsia="zh-CN"/>
        </w:rPr>
        <w:t>效率测算法</w:t>
      </w:r>
      <w:bookmarkEnd w:id="0"/>
      <w:bookmarkEnd w:id="1"/>
      <w:r>
        <w:rPr>
          <w:rFonts w:hint="eastAsia"/>
          <w:b w:val="0"/>
          <w:bCs w:val="0"/>
          <w:color w:val="auto"/>
          <w:lang w:val="en-US" w:eastAsia="zh-CN"/>
        </w:rPr>
        <w:t>。</w:t>
      </w:r>
      <w:r>
        <w:rPr>
          <w:rFonts w:hint="eastAsia" w:ascii="仿宋_GB2312" w:hAnsi="仿宋_GB2312" w:eastAsia="仿宋_GB2312" w:cs="仿宋_GB2312"/>
          <w:color w:val="0000FF"/>
          <w:kern w:val="0"/>
          <w:sz w:val="32"/>
          <w:szCs w:val="32"/>
          <w:lang w:val="en-US" w:eastAsia="zh-CN" w:bidi="ar-SA"/>
        </w:rPr>
        <w:t>对于用能系统运行负荷稳定，且具备效率测试条件的项目，其能耗与有效输出能量成正比例关系，通过有效输出能量（P）进行归一化。参照锅炉、电机等用能系统有效输出能量计算公式P=E×η，采用“报告期能耗-影响因素”建立报告期校准能耗公式为：</w:t>
      </w:r>
    </w:p>
    <w:p w14:paraId="74E92E8A">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仿宋_GB2312" w:eastAsia="仿宋_GB2312" w:cs="仿宋_GB2312"/>
          <w:color w:val="0000FF"/>
          <w:kern w:val="0"/>
          <w:sz w:val="32"/>
          <w:szCs w:val="32"/>
          <w:lang w:val="en-US" w:eastAsia="zh-CN" w:bidi="ar-SA"/>
        </w:rPr>
      </w:pPr>
      <m:oMathPara>
        <m:oMathParaPr>
          <m:jc m:val="center"/>
        </m:oMathParaP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eastAsia" w:ascii="DejaVu Math TeX Gyre" w:hAnsi="DejaVu Math TeX Gyre" w:eastAsia="仿宋_GB2312" w:cs="仿宋_GB2312"/>
                  <w:color w:val="0000FF"/>
                  <w:kern w:val="0"/>
                  <w:sz w:val="32"/>
                  <w:szCs w:val="32"/>
                  <w:lang w:val="en-US" w:eastAsia="zh-CN" w:bidi="ar-SA"/>
                </w:rPr>
                <m:t>r</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eastAsia" w:ascii="DejaVu Math TeX Gyre" w:hAnsi="DejaVu Math TeX Gyre" w:eastAsia="仿宋_GB2312" w:cs="仿宋_GB2312"/>
              <w:color w:val="0000FF"/>
              <w:kern w:val="0"/>
              <w:sz w:val="32"/>
              <w:szCs w:val="32"/>
              <w:lang w:val="en-US" w:eastAsia="zh-CN" w:bidi="ar-SA"/>
            </w:rPr>
            <m:t>=</m:t>
          </m:r>
          <m:f>
            <m:fPr>
              <m:ctrlPr>
                <w:rPr>
                  <w:rFonts w:hint="eastAsia" w:ascii="DejaVu Math TeX Gyre" w:hAnsi="DejaVu Math TeX Gyre" w:eastAsia="仿宋_GB2312" w:cs="仿宋_GB2312"/>
                  <w:color w:val="0000FF"/>
                  <w:kern w:val="0"/>
                  <w:sz w:val="32"/>
                  <w:szCs w:val="32"/>
                  <w:lang w:val="en-US" w:eastAsia="zh-CN" w:bidi="ar-SA"/>
                </w:rPr>
              </m:ctrlPr>
            </m:fPr>
            <m:num>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num>
            <m:den>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η</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r>
            <m:rPr>
              <m:sty m:val="p"/>
            </m:rPr>
            <w:rPr>
              <w:rFonts w:hint="default" w:ascii="DejaVu Math TeX Gyre" w:hAnsi="DejaVu Math TeX Gyre" w:eastAsia="仿宋_GB2312" w:cs="仿宋_GB2312"/>
              <w:color w:val="0000FF"/>
              <w:kern w:val="0"/>
              <w:sz w:val="32"/>
              <w:szCs w:val="32"/>
              <w:lang w:val="en-US" w:eastAsia="zh-CN" w:bidi="ar-SA"/>
            </w:rPr>
            <m:t>P</m:t>
          </m:r>
        </m:oMath>
      </m:oMathPara>
    </w:p>
    <w:p w14:paraId="52026CD1">
      <w:pPr>
        <w:pStyle w:val="7"/>
        <w:keepNext w:val="0"/>
        <w:keepLines w:val="0"/>
        <w:pageBreakBefore w:val="0"/>
        <w:widowControl w:val="0"/>
        <w:kinsoku/>
        <w:wordWrap/>
        <w:overflowPunct/>
        <w:topLinePunct w:val="0"/>
        <w:autoSpaceDE/>
        <w:autoSpaceDN/>
        <w:bidi w:val="0"/>
        <w:adjustRightInd/>
        <w:snapToGrid/>
        <w:spacing w:before="221" w:beforeLines="50" w:after="221" w:afterLines="50"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将影响因素P对应的基期有效输出能量P0代入报告期校准能耗公式，得到报告期校准能耗，即统计报告期能源消费量为：</w:t>
      </w:r>
    </w:p>
    <w:p w14:paraId="1FD5D133">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default" w:ascii="仿宋_GB2312" w:hAnsi="仿宋_GB2312" w:eastAsia="仿宋_GB2312" w:cs="仿宋_GB2312"/>
          <w:color w:val="0000FF"/>
          <w:kern w:val="0"/>
          <w:sz w:val="32"/>
          <w:szCs w:val="32"/>
          <w:lang w:val="en-US" w:eastAsia="zh-CN" w:bidi="ar-SA"/>
        </w:rPr>
      </w:pPr>
      <m:oMathPara>
        <m:oMathParaPr>
          <m:jc m:val="center"/>
        </m:oMathParaPr>
        <m:oMath>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r</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eastAsia" w:ascii="DejaVu Math TeX Gyre" w:hAnsi="DejaVu Math TeX Gyre" w:eastAsia="仿宋_GB2312" w:cs="仿宋_GB2312"/>
              <w:color w:val="0000FF"/>
              <w:kern w:val="0"/>
              <w:sz w:val="32"/>
              <w:szCs w:val="32"/>
              <w:lang w:val="en-US" w:eastAsia="zh-CN" w:bidi="ar-SA"/>
            </w:rPr>
            <m:t>=</m:t>
          </m:r>
          <m:f>
            <m:fPr>
              <m:ctrlPr>
                <w:rPr>
                  <w:rFonts w:hint="eastAsia" w:ascii="DejaVu Math TeX Gyre" w:hAnsi="DejaVu Math TeX Gyre" w:eastAsia="仿宋_GB2312" w:cs="仿宋_GB2312"/>
                  <w:color w:val="0000FF"/>
                  <w:kern w:val="0"/>
                  <w:sz w:val="32"/>
                  <w:szCs w:val="32"/>
                  <w:lang w:val="en-US" w:eastAsia="zh-CN" w:bidi="ar-SA"/>
                </w:rPr>
              </m:ctrlPr>
            </m:fPr>
            <m:num>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num>
            <m:den>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η</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eastAsia" w:ascii="DejaVu Math TeX Gyre" w:hAnsi="DejaVu Math TeX Gyre" w:eastAsia="仿宋_GB2312" w:cs="仿宋_GB2312"/>
                      <w:color w:val="0000FF"/>
                      <w:kern w:val="0"/>
                      <w:sz w:val="32"/>
                      <w:szCs w:val="32"/>
                      <w:lang w:val="en-US" w:eastAsia="zh-CN" w:bidi="ar-SA"/>
                    </w:rPr>
                  </m:ctrlPr>
                </m:sub>
              </m:sSub>
              <m:ctrlPr>
                <w:rPr>
                  <w:rFonts w:hint="eastAsia"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P</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eastAsia="仿宋_GB2312" w:cs="仿宋_GB2312"/>
              <w:color w:val="0000FF"/>
              <w:kern w:val="0"/>
              <w:sz w:val="32"/>
              <w:szCs w:val="32"/>
              <w:lang w:val="en-US" w:eastAsia="zh-CN" w:bidi="ar-SA"/>
            </w:rPr>
            <m:t>=</m:t>
          </m:r>
          <m:f>
            <m:fPr>
              <m:ctrlPr>
                <w:rPr>
                  <w:rFonts w:hint="default" w:ascii="DejaVu Math TeX Gyre" w:hAnsi="DejaVu Math TeX Gyre" w:eastAsia="仿宋_GB2312" w:cs="仿宋_GB2312"/>
                  <w:color w:val="0000FF"/>
                  <w:kern w:val="0"/>
                  <w:sz w:val="32"/>
                  <w:szCs w:val="32"/>
                  <w:lang w:val="en-US" w:eastAsia="zh-CN" w:bidi="ar-SA"/>
                </w:rPr>
              </m:ctrlPr>
            </m:fPr>
            <m:num>
              <m:sSub>
                <m:sSubPr>
                  <m:ctrlPr>
                    <w:rPr>
                      <w:rFonts w:hint="default"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η</m:t>
                  </m:r>
                  <m:ctrlPr>
                    <w:rPr>
                      <w:rFonts w:hint="default"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default" w:ascii="DejaVu Math TeX Gyre" w:hAnsi="DejaVu Math TeX Gyre" w:eastAsia="仿宋_GB2312" w:cs="仿宋_GB2312"/>
                      <w:color w:val="0000FF"/>
                      <w:kern w:val="0"/>
                      <w:sz w:val="32"/>
                      <w:szCs w:val="32"/>
                      <w:lang w:val="en-US" w:eastAsia="zh-CN" w:bidi="ar-SA"/>
                    </w:rPr>
                  </m:ctrlPr>
                </m:sub>
              </m:sSub>
              <m:ctrlPr>
                <w:rPr>
                  <w:rFonts w:hint="default" w:ascii="DejaVu Math TeX Gyre" w:hAnsi="DejaVu Math TeX Gyre" w:eastAsia="仿宋_GB2312" w:cs="仿宋_GB2312"/>
                  <w:color w:val="0000FF"/>
                  <w:kern w:val="0"/>
                  <w:sz w:val="32"/>
                  <w:szCs w:val="32"/>
                  <w:lang w:val="en-US" w:eastAsia="zh-CN" w:bidi="ar-SA"/>
                </w:rPr>
              </m:ctrlPr>
            </m:num>
            <m:den>
              <m:sSub>
                <m:sSubPr>
                  <m:ctrlPr>
                    <w:rPr>
                      <w:rFonts w:hint="default"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η</m:t>
                  </m:r>
                  <m:ctrlPr>
                    <w:rPr>
                      <w:rFonts w:hint="default"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default" w:ascii="DejaVu Math TeX Gyre" w:hAnsi="DejaVu Math TeX Gyre" w:eastAsia="仿宋_GB2312" w:cs="仿宋_GB2312"/>
                      <w:color w:val="0000FF"/>
                      <w:kern w:val="0"/>
                      <w:sz w:val="32"/>
                      <w:szCs w:val="32"/>
                      <w:lang w:val="en-US" w:eastAsia="zh-CN" w:bidi="ar-SA"/>
                    </w:rPr>
                  </m:ctrlPr>
                </m:sub>
              </m:sSub>
              <m:ctrlPr>
                <w:rPr>
                  <w:rFonts w:hint="default"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oMath>
      </m:oMathPara>
    </w:p>
    <w:p w14:paraId="30DE9ADC">
      <w:pPr>
        <w:pStyle w:val="7"/>
        <w:keepNext w:val="0"/>
        <w:keepLines w:val="0"/>
        <w:pageBreakBefore w:val="0"/>
        <w:widowControl w:val="0"/>
        <w:kinsoku/>
        <w:wordWrap/>
        <w:overflowPunct/>
        <w:topLinePunct w:val="0"/>
        <w:autoSpaceDE/>
        <w:autoSpaceDN/>
        <w:bidi w:val="0"/>
        <w:adjustRightInd/>
        <w:snapToGrid/>
        <w:spacing w:before="221" w:beforeLines="50" w:after="221" w:afterLines="50"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再将Er代入节能量计算公式，则利用能源系统效率的变化计算节能量公式为：</w:t>
      </w:r>
    </w:p>
    <w:p w14:paraId="032169DD">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w:r>
        <w:rPr>
          <w:rFonts w:hint="eastAsia" w:ascii="仿宋_GB2312" w:hAnsi="仿宋_GB2312" w:eastAsia="仿宋_GB2312" w:cs="仿宋_GB2312"/>
          <w:color w:val="0000FF"/>
          <w:kern w:val="0"/>
          <w:sz w:val="32"/>
          <w:szCs w:val="32"/>
          <w:lang w:val="en-US" w:eastAsia="zh-CN" w:bidi="ar-SA"/>
        </w:rPr>
        <w:tab/>
      </w:r>
      <m:oMath>
        <m:r>
          <m:rPr>
            <m:sty m:val="p"/>
          </m:rPr>
          <w:rPr>
            <w:rFonts w:hint="eastAsia" w:ascii="DejaVu Math TeX Gyre" w:hAnsi="DejaVu Math TeX Gyre" w:eastAsia="仿宋_GB2312" w:cs="仿宋_GB2312"/>
            <w:color w:val="0000FF"/>
            <w:kern w:val="0"/>
            <w:sz w:val="32"/>
            <w:szCs w:val="32"/>
            <w:lang w:val="en-US" w:eastAsia="zh-CN" w:bidi="ar-SA"/>
          </w:rPr>
          <m:t>△E=</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eastAsia="仿宋_GB2312" w:cs="仿宋_GB2312"/>
            <w:color w:val="0000FF"/>
            <w:kern w:val="0"/>
            <w:sz w:val="32"/>
            <w:szCs w:val="32"/>
            <w:lang w:val="en-US" w:eastAsia="zh-CN" w:bidi="ar-SA"/>
          </w:rPr>
          <m:t>−</m:t>
        </m:r>
        <m:sSub>
          <m:sSubPr>
            <m:ctrlPr>
              <w:rPr>
                <w:rFonts w:hint="default"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default"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r</m:t>
            </m:r>
            <m:ctrlPr>
              <w:rPr>
                <w:rFonts w:hint="default"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eastAsia="仿宋_GB2312" w:cs="仿宋_GB2312"/>
            <w:color w:val="0000FF"/>
            <w:kern w:val="0"/>
            <w:sz w:val="32"/>
            <w:szCs w:val="32"/>
            <w:lang w:val="en-US" w:eastAsia="zh-CN" w:bidi="ar-SA"/>
          </w:rPr>
          <m:t>−</m:t>
        </m:r>
        <m:f>
          <m:fPr>
            <m:ctrlPr>
              <w:rPr>
                <w:rFonts w:hint="default" w:ascii="DejaVu Math TeX Gyre" w:hAnsi="DejaVu Math TeX Gyre" w:eastAsia="仿宋_GB2312" w:cs="仿宋_GB2312"/>
                <w:color w:val="0000FF"/>
                <w:kern w:val="0"/>
                <w:sz w:val="32"/>
                <w:szCs w:val="32"/>
                <w:lang w:val="en-US" w:eastAsia="zh-CN" w:bidi="ar-SA"/>
              </w:rPr>
            </m:ctrlPr>
          </m:fPr>
          <m:num>
            <m:sSub>
              <m:sSubPr>
                <m:ctrlPr>
                  <w:rPr>
                    <w:rFonts w:hint="default"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η</m:t>
                </m:r>
                <m:ctrlPr>
                  <w:rPr>
                    <w:rFonts w:hint="default"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default" w:ascii="DejaVu Math TeX Gyre" w:hAnsi="DejaVu Math TeX Gyre" w:eastAsia="仿宋_GB2312" w:cs="仿宋_GB2312"/>
                    <w:color w:val="0000FF"/>
                    <w:kern w:val="0"/>
                    <w:sz w:val="32"/>
                    <w:szCs w:val="32"/>
                    <w:lang w:val="en-US" w:eastAsia="zh-CN" w:bidi="ar-SA"/>
                  </w:rPr>
                </m:ctrlPr>
              </m:sub>
            </m:sSub>
            <m:ctrlPr>
              <w:rPr>
                <w:rFonts w:hint="default" w:ascii="DejaVu Math TeX Gyre" w:hAnsi="DejaVu Math TeX Gyre" w:eastAsia="仿宋_GB2312" w:cs="仿宋_GB2312"/>
                <w:color w:val="0000FF"/>
                <w:kern w:val="0"/>
                <w:sz w:val="32"/>
                <w:szCs w:val="32"/>
                <w:lang w:val="en-US" w:eastAsia="zh-CN" w:bidi="ar-SA"/>
              </w:rPr>
            </m:ctrlPr>
          </m:num>
          <m:den>
            <m:sSub>
              <m:sSubPr>
                <m:ctrlPr>
                  <w:rPr>
                    <w:rFonts w:hint="default" w:ascii="DejaVu Math TeX Gyre" w:hAnsi="DejaVu Math TeX Gyre" w:eastAsia="仿宋_GB2312" w:cs="仿宋_GB2312"/>
                    <w:color w:val="0000FF"/>
                    <w:kern w:val="0"/>
                    <w:sz w:val="32"/>
                    <w:szCs w:val="32"/>
                    <w:lang w:val="en-US" w:eastAsia="zh-CN" w:bidi="ar-SA"/>
                  </w:rPr>
                </m:ctrlPr>
              </m:sSubPr>
              <m:e>
                <m:r>
                  <m:rPr>
                    <m:sty m:val="p"/>
                  </m:rPr>
                  <w:rPr>
                    <w:rFonts w:hint="eastAsia" w:ascii="DejaVu Math TeX Gyre" w:hAnsi="DejaVu Math TeX Gyre" w:eastAsia="仿宋_GB2312" w:cs="仿宋_GB2312"/>
                    <w:color w:val="0000FF"/>
                    <w:kern w:val="0"/>
                    <w:sz w:val="32"/>
                    <w:szCs w:val="32"/>
                    <w:lang w:val="en-US" w:eastAsia="zh-CN" w:bidi="ar-SA"/>
                  </w:rPr>
                  <m:t>η</m:t>
                </m:r>
                <m:ctrlPr>
                  <w:rPr>
                    <w:rFonts w:hint="default"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1</m:t>
                </m:r>
                <m:ctrlPr>
                  <w:rPr>
                    <w:rFonts w:hint="default" w:ascii="DejaVu Math TeX Gyre" w:hAnsi="DejaVu Math TeX Gyre" w:eastAsia="仿宋_GB2312" w:cs="仿宋_GB2312"/>
                    <w:color w:val="0000FF"/>
                    <w:kern w:val="0"/>
                    <w:sz w:val="32"/>
                    <w:szCs w:val="32"/>
                    <w:lang w:val="en-US" w:eastAsia="zh-CN" w:bidi="ar-SA"/>
                  </w:rPr>
                </m:ctrlPr>
              </m:sub>
            </m:sSub>
            <m:ctrlPr>
              <w:rPr>
                <w:rFonts w:hint="default" w:ascii="DejaVu Math TeX Gyre" w:hAnsi="DejaVu Math TeX Gyre" w:eastAsia="仿宋_GB2312" w:cs="仿宋_GB2312"/>
                <w:color w:val="0000FF"/>
                <w:kern w:val="0"/>
                <w:sz w:val="32"/>
                <w:szCs w:val="32"/>
                <w:lang w:val="en-US" w:eastAsia="zh-CN" w:bidi="ar-SA"/>
              </w:rPr>
            </m:ctrlPr>
          </m:den>
        </m:f>
        <m:r>
          <m:rPr>
            <m:sty m:val="p"/>
          </m:rPr>
          <w:rPr>
            <w:rFonts w:hint="eastAsia" w:ascii="DejaVu Math TeX Gyre" w:hAnsi="DejaVu Math TeX Gyre" w:eastAsia="仿宋_GB2312" w:cs="仿宋_GB2312"/>
            <w:color w:val="0000FF"/>
            <w:kern w:val="0"/>
            <w:sz w:val="32"/>
            <w:szCs w:val="32"/>
            <w:lang w:val="en-US" w:eastAsia="zh-CN" w:bidi="ar-SA"/>
          </w:rPr>
          <m:t>×</m:t>
        </m:r>
        <m:sSub>
          <m:sSubPr>
            <m:ctrlPr>
              <w:rPr>
                <w:rFonts w:hint="eastAsia" w:ascii="DejaVu Math TeX Gyre" w:hAnsi="DejaVu Math TeX Gyre" w:eastAsia="仿宋_GB2312" w:cs="仿宋_GB2312"/>
                <w:color w:val="0000FF"/>
                <w:kern w:val="0"/>
                <w:sz w:val="32"/>
                <w:szCs w:val="32"/>
                <w:lang w:val="en-US" w:eastAsia="zh-CN" w:bidi="ar-SA"/>
              </w:rPr>
            </m:ctrlPr>
          </m:sSubPr>
          <m:e>
            <m:r>
              <m:rPr>
                <m:sty m:val="p"/>
              </m:rPr>
              <w:rPr>
                <w:rFonts w:hint="default" w:ascii="DejaVu Math TeX Gyre" w:hAnsi="DejaVu Math TeX Gyre" w:eastAsia="仿宋_GB2312" w:cs="仿宋_GB2312"/>
                <w:color w:val="0000FF"/>
                <w:kern w:val="0"/>
                <w:sz w:val="32"/>
                <w:szCs w:val="32"/>
                <w:lang w:val="en-US" w:eastAsia="zh-CN" w:bidi="ar-SA"/>
              </w:rPr>
              <m:t>E</m:t>
            </m:r>
            <m:ctrlPr>
              <w:rPr>
                <w:rFonts w:hint="eastAsia" w:ascii="DejaVu Math TeX Gyre" w:hAnsi="DejaVu Math TeX Gyre" w:eastAsia="仿宋_GB2312" w:cs="仿宋_GB2312"/>
                <w:color w:val="0000FF"/>
                <w:kern w:val="0"/>
                <w:sz w:val="32"/>
                <w:szCs w:val="32"/>
                <w:lang w:val="en-US" w:eastAsia="zh-CN" w:bidi="ar-SA"/>
              </w:rPr>
            </m:ctrlPr>
          </m:e>
          <m:sub>
            <m:r>
              <m:rPr>
                <m:sty m:val="p"/>
              </m:rPr>
              <w:rPr>
                <w:rFonts w:hint="default" w:ascii="DejaVu Math TeX Gyre" w:hAnsi="DejaVu Math TeX Gyre" w:eastAsia="仿宋_GB2312" w:cs="仿宋_GB2312"/>
                <w:color w:val="0000FF"/>
                <w:kern w:val="0"/>
                <w:sz w:val="32"/>
                <w:szCs w:val="32"/>
                <w:lang w:val="en-US" w:eastAsia="zh-CN" w:bidi="ar-SA"/>
              </w:rPr>
              <m:t>0</m:t>
            </m:r>
            <m:ctrlPr>
              <w:rPr>
                <w:rFonts w:hint="eastAsia" w:ascii="DejaVu Math TeX Gyre" w:hAnsi="DejaVu Math TeX Gyre" w:eastAsia="仿宋_GB2312" w:cs="仿宋_GB2312"/>
                <w:color w:val="0000FF"/>
                <w:kern w:val="0"/>
                <w:sz w:val="32"/>
                <w:szCs w:val="32"/>
                <w:lang w:val="en-US" w:eastAsia="zh-CN" w:bidi="ar-SA"/>
              </w:rPr>
            </m:ctrlPr>
          </m:sub>
        </m:sSub>
        <m:r>
          <m:rPr>
            <m:sty m:val="p"/>
          </m:rPr>
          <w:rPr>
            <w:rFonts w:hint="default" w:ascii="DejaVu Math TeX Gyre" w:hAnsi="DejaVu Math TeX Gyre" w:eastAsia="仿宋_GB2312" w:cs="仿宋_GB2312"/>
            <w:color w:val="0000FF"/>
            <w:kern w:val="0"/>
            <w:sz w:val="32"/>
            <w:szCs w:val="32"/>
            <w:lang w:val="en-US" w:eastAsia="zh-CN" w:bidi="ar-SA"/>
          </w:rPr>
          <m:t>=</m:t>
        </m:r>
        <m:d>
          <m:dPr>
            <m:ctrlPr>
              <w:rPr>
                <w:rFonts w:hint="eastAsia" w:ascii="DejaVu Math TeX Gyre" w:hAnsi="DejaVu Math TeX Gyre"/>
                <w:color w:val="auto"/>
                <w:sz w:val="32"/>
                <w:szCs w:val="32"/>
                <w:lang w:val="en-US" w:eastAsia="zh-CN"/>
              </w:rPr>
            </m:ctrlPr>
          </m:dPr>
          <m:e>
            <m:r>
              <m:rPr>
                <m:sty m:val="p"/>
              </m:rPr>
              <w:rPr>
                <w:rFonts w:hint="eastAsia" w:ascii="DejaVu Math TeX Gyre" w:hAnsi="DejaVu Math TeX Gyre"/>
                <w:color w:val="auto"/>
                <w:sz w:val="32"/>
                <w:szCs w:val="32"/>
                <w:lang w:val="en-US" w:eastAsia="zh-CN"/>
              </w:rPr>
              <m:t>1−</m:t>
            </m:r>
            <m:f>
              <m:fPr>
                <m:ctrlPr>
                  <w:rPr>
                    <w:rFonts w:hint="eastAsia" w:ascii="DejaVu Math TeX Gyre" w:hAnsi="DejaVu Math TeX Gyre"/>
                    <w:color w:val="auto"/>
                    <w:sz w:val="32"/>
                    <w:szCs w:val="32"/>
                    <w:lang w:val="en-US" w:eastAsia="zh-CN"/>
                  </w:rPr>
                </m:ctrlPr>
              </m:fPr>
              <m:num>
                <m:sSub>
                  <m:sSubPr>
                    <m:ctrlPr>
                      <w:rPr>
                        <w:rFonts w:hint="eastAsia" w:ascii="DejaVu Math TeX Gyre" w:hAnsi="DejaVu Math TeX Gyre"/>
                        <w:color w:val="auto"/>
                        <w:sz w:val="32"/>
                        <w:szCs w:val="32"/>
                        <w:lang w:val="en-US" w:eastAsia="zh-CN"/>
                      </w:rPr>
                    </m:ctrlPr>
                  </m:sSubPr>
                  <m:e>
                    <m:r>
                      <m:rPr>
                        <m:sty m:val="p"/>
                      </m:rPr>
                      <w:rPr>
                        <w:rFonts w:hint="eastAsia" w:ascii="DejaVu Math TeX Gyre" w:hAnsi="DejaVu Math TeX Gyre"/>
                        <w:color w:val="auto"/>
                        <w:sz w:val="32"/>
                        <w:szCs w:val="32"/>
                        <w:lang w:val="en-US" w:eastAsia="zh-CN"/>
                      </w:rPr>
                      <m:t>η</m:t>
                    </m:r>
                    <m:ctrlPr>
                      <w:rPr>
                        <w:rFonts w:hint="eastAsia" w:ascii="DejaVu Math TeX Gyre" w:hAnsi="DejaVu Math TeX Gyre"/>
                        <w:color w:val="auto"/>
                        <w:sz w:val="32"/>
                        <w:szCs w:val="32"/>
                        <w:lang w:val="en-US" w:eastAsia="zh-CN"/>
                      </w:rPr>
                    </m:ctrlPr>
                  </m:e>
                  <m:sub>
                    <m:r>
                      <m:rPr>
                        <m:sty m:val="p"/>
                      </m:rPr>
                      <w:rPr>
                        <w:rFonts w:hint="eastAsia" w:ascii="DejaVu Math TeX Gyre" w:hAnsi="DejaVu Math TeX Gyre"/>
                        <w:color w:val="auto"/>
                        <w:sz w:val="32"/>
                        <w:szCs w:val="32"/>
                        <w:lang w:val="en-US" w:eastAsia="zh-CN"/>
                      </w:rPr>
                      <m:t>0</m:t>
                    </m:r>
                    <m:ctrlPr>
                      <w:rPr>
                        <w:rFonts w:hint="eastAsia" w:ascii="DejaVu Math TeX Gyre" w:hAnsi="DejaVu Math TeX Gyre"/>
                        <w:color w:val="auto"/>
                        <w:sz w:val="32"/>
                        <w:szCs w:val="32"/>
                        <w:lang w:val="en-US" w:eastAsia="zh-CN"/>
                      </w:rPr>
                    </m:ctrlPr>
                  </m:sub>
                </m:sSub>
                <m:ctrlPr>
                  <w:rPr>
                    <w:rFonts w:hint="eastAsia" w:ascii="DejaVu Math TeX Gyre" w:hAnsi="DejaVu Math TeX Gyre"/>
                    <w:color w:val="auto"/>
                    <w:sz w:val="32"/>
                    <w:szCs w:val="32"/>
                    <w:lang w:val="en-US" w:eastAsia="zh-CN"/>
                  </w:rPr>
                </m:ctrlPr>
              </m:num>
              <m:den>
                <m:sSub>
                  <m:sSubPr>
                    <m:ctrlPr>
                      <w:rPr>
                        <w:rFonts w:hint="eastAsia" w:ascii="DejaVu Math TeX Gyre" w:hAnsi="DejaVu Math TeX Gyre"/>
                        <w:color w:val="auto"/>
                        <w:sz w:val="32"/>
                        <w:szCs w:val="32"/>
                        <w:lang w:val="en-US" w:eastAsia="zh-CN"/>
                      </w:rPr>
                    </m:ctrlPr>
                  </m:sSubPr>
                  <m:e>
                    <m:r>
                      <m:rPr>
                        <m:sty m:val="p"/>
                      </m:rPr>
                      <w:rPr>
                        <w:rFonts w:hint="eastAsia" w:ascii="DejaVu Math TeX Gyre" w:hAnsi="DejaVu Math TeX Gyre"/>
                        <w:color w:val="auto"/>
                        <w:sz w:val="32"/>
                        <w:szCs w:val="32"/>
                        <w:lang w:val="en-US" w:eastAsia="zh-CN"/>
                      </w:rPr>
                      <m:t>η</m:t>
                    </m:r>
                    <m:ctrlPr>
                      <w:rPr>
                        <w:rFonts w:hint="eastAsia" w:ascii="DejaVu Math TeX Gyre" w:hAnsi="DejaVu Math TeX Gyre"/>
                        <w:color w:val="auto"/>
                        <w:sz w:val="32"/>
                        <w:szCs w:val="32"/>
                        <w:lang w:val="en-US" w:eastAsia="zh-CN"/>
                      </w:rPr>
                    </m:ctrlPr>
                  </m:e>
                  <m:sub>
                    <m:r>
                      <m:rPr>
                        <m:sty m:val="p"/>
                      </m:rPr>
                      <w:rPr>
                        <w:rFonts w:hint="eastAsia" w:ascii="DejaVu Math TeX Gyre" w:hAnsi="DejaVu Math TeX Gyre"/>
                        <w:color w:val="auto"/>
                        <w:sz w:val="32"/>
                        <w:szCs w:val="32"/>
                        <w:lang w:val="en-US" w:eastAsia="zh-CN"/>
                      </w:rPr>
                      <m:t>1</m:t>
                    </m:r>
                    <m:ctrlPr>
                      <w:rPr>
                        <w:rFonts w:hint="eastAsia" w:ascii="DejaVu Math TeX Gyre" w:hAnsi="DejaVu Math TeX Gyre"/>
                        <w:color w:val="auto"/>
                        <w:sz w:val="32"/>
                        <w:szCs w:val="32"/>
                        <w:lang w:val="en-US" w:eastAsia="zh-CN"/>
                      </w:rPr>
                    </m:ctrlPr>
                  </m:sub>
                </m:sSub>
                <m:ctrlPr>
                  <w:rPr>
                    <w:rFonts w:hint="eastAsia" w:ascii="DejaVu Math TeX Gyre" w:hAnsi="DejaVu Math TeX Gyre"/>
                    <w:color w:val="auto"/>
                    <w:sz w:val="32"/>
                    <w:szCs w:val="32"/>
                    <w:lang w:val="en-US" w:eastAsia="zh-CN"/>
                  </w:rPr>
                </m:ctrlPr>
              </m:den>
            </m:f>
            <m:ctrlPr>
              <w:rPr>
                <w:rFonts w:hint="eastAsia" w:ascii="DejaVu Math TeX Gyre" w:hAnsi="DejaVu Math TeX Gyre"/>
                <w:color w:val="auto"/>
                <w:sz w:val="32"/>
                <w:szCs w:val="32"/>
                <w:lang w:val="en-US" w:eastAsia="zh-CN"/>
              </w:rPr>
            </m:ctrlPr>
          </m:e>
        </m:d>
        <m:r>
          <m:rPr>
            <m:sty m:val="p"/>
          </m:rPr>
          <w:rPr>
            <w:rFonts w:hint="eastAsia" w:ascii="DejaVu Math TeX Gyre" w:hAnsi="DejaVu Math TeX Gyre"/>
            <w:color w:val="auto"/>
            <w:sz w:val="32"/>
            <w:szCs w:val="32"/>
            <w:lang w:val="en-US" w:eastAsia="zh-CN"/>
          </w:rPr>
          <m:t>×</m:t>
        </m:r>
        <m:sSub>
          <m:sSubPr>
            <m:ctrlPr>
              <w:rPr>
                <w:rFonts w:hint="eastAsia" w:ascii="DejaVu Math TeX Gyre" w:hAnsi="DejaVu Math TeX Gyre"/>
                <w:color w:val="auto"/>
                <w:sz w:val="32"/>
                <w:szCs w:val="32"/>
                <w:lang w:val="en-US" w:eastAsia="zh-CN"/>
              </w:rPr>
            </m:ctrlPr>
          </m:sSubPr>
          <m:e>
            <m:r>
              <m:rPr>
                <m:sty m:val="p"/>
              </m:rPr>
              <w:rPr>
                <w:rFonts w:hint="eastAsia" w:ascii="DejaVu Math TeX Gyre" w:hAnsi="DejaVu Math TeX Gyre"/>
                <w:color w:val="auto"/>
                <w:sz w:val="32"/>
                <w:szCs w:val="32"/>
                <w:lang w:val="en-US" w:eastAsia="zh-CN"/>
              </w:rPr>
              <m:t>E</m:t>
            </m:r>
            <m:ctrlPr>
              <w:rPr>
                <w:rFonts w:hint="eastAsia" w:ascii="DejaVu Math TeX Gyre" w:hAnsi="DejaVu Math TeX Gyre"/>
                <w:color w:val="auto"/>
                <w:sz w:val="32"/>
                <w:szCs w:val="32"/>
                <w:lang w:val="en-US" w:eastAsia="zh-CN"/>
              </w:rPr>
            </m:ctrlPr>
          </m:e>
          <m:sub>
            <m:r>
              <m:rPr>
                <m:sty m:val="p"/>
              </m:rPr>
              <w:rPr>
                <w:rFonts w:hint="eastAsia" w:ascii="DejaVu Math TeX Gyre" w:hAnsi="DejaVu Math TeX Gyre"/>
                <w:color w:val="auto"/>
                <w:sz w:val="32"/>
                <w:szCs w:val="32"/>
                <w:lang w:val="en-US" w:eastAsia="zh-CN"/>
              </w:rPr>
              <m:t>0</m:t>
            </m:r>
            <m:ctrlPr>
              <w:rPr>
                <w:rFonts w:hint="eastAsia" w:ascii="DejaVu Math TeX Gyre" w:hAnsi="DejaVu Math TeX Gyre"/>
                <w:color w:val="auto"/>
                <w:sz w:val="32"/>
                <w:szCs w:val="32"/>
                <w:lang w:val="en-US" w:eastAsia="zh-CN"/>
              </w:rPr>
            </m:ctrlPr>
          </m:sub>
        </m:sSub>
      </m:oMath>
      <w:r>
        <w:rPr>
          <w:rFonts w:hint="eastAsia"/>
          <w:color w:val="auto"/>
          <w:lang w:val="en-US" w:eastAsia="zh-CN"/>
        </w:rPr>
        <w:tab/>
      </w:r>
    </w:p>
    <w:p w14:paraId="3E28F5F9">
      <w:pPr>
        <w:pStyle w:val="7"/>
        <w:keepNext w:val="0"/>
        <w:keepLines w:val="0"/>
        <w:pageBreakBefore w:val="0"/>
        <w:widowControl w:val="0"/>
        <w:kinsoku/>
        <w:wordWrap/>
        <w:overflowPunct/>
        <w:topLinePunct w:val="0"/>
        <w:autoSpaceDE/>
        <w:autoSpaceDN/>
        <w:bidi w:val="0"/>
        <w:adjustRightInd/>
        <w:snapToGrid/>
        <w:spacing w:before="221" w:beforeLines="50" w:line="578" w:lineRule="exact"/>
        <w:textAlignment w:val="auto"/>
        <w:rPr>
          <w:rFonts w:hint="eastAsia"/>
          <w:color w:val="auto"/>
          <w:lang w:val="en-US" w:eastAsia="zh-CN"/>
        </w:rPr>
      </w:pPr>
      <w:r>
        <w:rPr>
          <w:rFonts w:hint="eastAsia"/>
          <w:color w:val="auto"/>
          <w:lang w:val="en-US" w:eastAsia="zh-CN"/>
        </w:rPr>
        <w:t>式中：</w:t>
      </w:r>
    </w:p>
    <w:p w14:paraId="4CFD717D">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η</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0</m:t>
            </m:r>
            <m:ctrlPr>
              <w:rPr>
                <w:rFonts w:hint="eastAsia" w:ascii="DejaVu Math TeX Gyre" w:hAnsi="DejaVu Math TeX Gyre"/>
                <w:color w:val="auto"/>
                <w:lang w:val="en-US" w:eastAsia="zh-CN"/>
              </w:rPr>
            </m:ctrlPr>
          </m:sub>
        </m:sSub>
      </m:oMath>
      <w:r>
        <w:rPr>
          <w:rFonts w:hint="eastAsia"/>
          <w:color w:val="auto"/>
          <w:lang w:val="en-US" w:eastAsia="zh-CN"/>
        </w:rPr>
        <w:t>——改造前用能系统效率，%；</w:t>
      </w:r>
    </w:p>
    <w:p w14:paraId="3DD32A8A">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η</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1</m:t>
            </m:r>
            <m:ctrlPr>
              <w:rPr>
                <w:rFonts w:hint="eastAsia" w:ascii="DejaVu Math TeX Gyre" w:hAnsi="DejaVu Math TeX Gyre"/>
                <w:color w:val="auto"/>
                <w:lang w:val="en-US" w:eastAsia="zh-CN"/>
              </w:rPr>
            </m:ctrlPr>
          </m:sub>
        </m:sSub>
      </m:oMath>
      <w:r>
        <w:rPr>
          <w:rFonts w:hint="eastAsia"/>
          <w:color w:val="auto"/>
          <w:lang w:val="en-US" w:eastAsia="zh-CN"/>
        </w:rPr>
        <w:t>——改造后用能系统效率，%。</w:t>
      </w:r>
    </w:p>
    <w:p w14:paraId="68928AAD">
      <w:pPr>
        <w:pStyle w:val="7"/>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color w:val="auto"/>
          <w:lang w:val="en-US" w:eastAsia="zh-CN"/>
        </w:rPr>
      </w:pPr>
      <w:bookmarkStart w:id="2" w:name="_Toc3712"/>
      <w:bookmarkStart w:id="3" w:name="_Toc5854"/>
      <w:r>
        <w:rPr>
          <w:rFonts w:hint="eastAsia" w:ascii="仿宋_GB2312" w:hAnsi="仿宋_GB2312" w:eastAsia="仿宋_GB2312" w:cs="仿宋_GB2312"/>
          <w:color w:val="0000FF"/>
          <w:kern w:val="0"/>
          <w:sz w:val="32"/>
          <w:szCs w:val="32"/>
          <w:lang w:val="en-US" w:eastAsia="zh-CN" w:bidi="ar-SA"/>
        </w:rPr>
        <w:t>2.</w:t>
      </w:r>
      <w:r>
        <w:rPr>
          <w:rFonts w:hint="eastAsia"/>
          <w:b w:val="0"/>
          <w:bCs w:val="0"/>
          <w:color w:val="auto"/>
          <w:lang w:val="en-US" w:eastAsia="zh-CN"/>
        </w:rPr>
        <w:t>回收能量计算法</w:t>
      </w:r>
      <w:bookmarkEnd w:id="2"/>
      <w:bookmarkEnd w:id="3"/>
      <w:r>
        <w:rPr>
          <w:rFonts w:hint="eastAsia"/>
          <w:b w:val="0"/>
          <w:bCs w:val="0"/>
          <w:color w:val="auto"/>
          <w:lang w:val="en-US" w:eastAsia="zh-CN"/>
        </w:rPr>
        <w:t>。</w:t>
      </w:r>
      <w:r>
        <w:rPr>
          <w:rFonts w:hint="eastAsia" w:ascii="仿宋_GB2312" w:hAnsi="仿宋_GB2312" w:eastAsia="仿宋_GB2312" w:cs="仿宋_GB2312"/>
          <w:color w:val="0000FF"/>
          <w:kern w:val="0"/>
          <w:sz w:val="32"/>
          <w:szCs w:val="32"/>
          <w:lang w:val="en-US" w:eastAsia="zh-CN" w:bidi="ar-SA"/>
        </w:rPr>
        <w:t>根据《节能项目节能量审核指南》（发改环资〔2008〕704号），“对利用废弃能源资源的节能项目（工程）（如余热余压利用项目等）的节能量，根据最终转化形成的可用能源量确定”。</w:t>
      </w:r>
      <w:r>
        <w:rPr>
          <w:rFonts w:hint="eastAsia"/>
          <w:color w:val="auto"/>
          <w:lang w:val="en-US" w:eastAsia="zh-CN"/>
        </w:rPr>
        <w:t>则利用回收能量计算法计算节能量，按以下公式计算：</w:t>
      </w:r>
      <w:bookmarkStart w:id="4" w:name="_GoBack"/>
      <w:bookmarkEnd w:id="4"/>
    </w:p>
    <w:p w14:paraId="27B2FFFB">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w:r>
        <w:rPr>
          <w:rFonts w:hint="eastAsia"/>
          <w:color w:val="auto"/>
          <w:lang w:val="en-US" w:eastAsia="zh-CN"/>
        </w:rPr>
        <w:tab/>
      </w:r>
      <m:oMath>
        <m:r>
          <m:rPr>
            <m:sty m:val="p"/>
          </m:rPr>
          <w:rPr>
            <w:rFonts w:hint="eastAsia" w:ascii="DejaVu Math TeX Gyre" w:hAnsi="DejaVu Math TeX Gyre"/>
            <w:color w:val="auto"/>
            <w:lang w:val="en-US" w:eastAsia="zh-CN"/>
          </w:rPr>
          <m:t>△E=</m:t>
        </m:r>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2</m:t>
            </m:r>
            <m:ctrlPr>
              <w:rPr>
                <w:rFonts w:hint="eastAsia" w:ascii="DejaVu Math TeX Gyre" w:hAnsi="DejaVu Math TeX Gyre"/>
                <w:color w:val="auto"/>
                <w:lang w:val="en-US" w:eastAsia="zh-CN"/>
              </w:rPr>
            </m:ctrlPr>
          </m:sub>
        </m:sSub>
        <m:r>
          <m:rPr>
            <m:sty m:val="p"/>
          </m:rPr>
          <w:rPr>
            <w:rFonts w:hint="eastAsia" w:ascii="DejaVu Math TeX Gyre" w:hAnsi="DejaVu Math TeX Gyre"/>
            <w:color w:val="auto"/>
            <w:lang w:val="en-US" w:eastAsia="zh-CN"/>
          </w:rPr>
          <m:t>−</m:t>
        </m:r>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3</m:t>
            </m:r>
            <m:ctrlPr>
              <w:rPr>
                <w:rFonts w:hint="eastAsia" w:ascii="DejaVu Math TeX Gyre" w:hAnsi="DejaVu Math TeX Gyre"/>
                <w:color w:val="auto"/>
                <w:lang w:val="en-US" w:eastAsia="zh-CN"/>
              </w:rPr>
            </m:ctrlPr>
          </m:sub>
        </m:sSub>
      </m:oMath>
      <w:r>
        <w:rPr>
          <w:rFonts w:hint="eastAsia"/>
          <w:color w:val="auto"/>
          <w:lang w:val="en-US" w:eastAsia="zh-CN"/>
        </w:rPr>
        <w:tab/>
      </w:r>
    </w:p>
    <w:p w14:paraId="6E2ADA90">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w:r>
        <w:rPr>
          <w:rFonts w:hint="eastAsia"/>
          <w:color w:val="auto"/>
          <w:lang w:val="en-US" w:eastAsia="zh-CN"/>
        </w:rPr>
        <w:t>式中：</w:t>
      </w:r>
    </w:p>
    <w:p w14:paraId="0735F4FD">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2</m:t>
            </m:r>
            <m:ctrlPr>
              <w:rPr>
                <w:rFonts w:hint="eastAsia" w:ascii="DejaVu Math TeX Gyre" w:hAnsi="DejaVu Math TeX Gyre"/>
                <w:color w:val="auto"/>
                <w:lang w:val="en-US" w:eastAsia="zh-CN"/>
              </w:rPr>
            </m:ctrlPr>
          </m:sub>
        </m:sSub>
      </m:oMath>
      <w:r>
        <w:rPr>
          <w:rFonts w:hint="eastAsia"/>
          <w:color w:val="auto"/>
          <w:lang w:val="en-US" w:eastAsia="zh-CN"/>
        </w:rPr>
        <w:t>——回收利用的能量，单位为吨标准煤（tce）；</w:t>
      </w:r>
    </w:p>
    <w:p w14:paraId="6E9A0B80">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color w:val="auto"/>
          <w:lang w:val="en-US" w:eastAsia="zh-CN"/>
        </w:rPr>
      </w:pPr>
      <m:oMath>
        <m:sSub>
          <m:sSubPr>
            <m:ctrlPr>
              <w:rPr>
                <w:rFonts w:hint="eastAsia" w:ascii="DejaVu Math TeX Gyre" w:hAnsi="DejaVu Math TeX Gyre"/>
                <w:color w:val="auto"/>
                <w:lang w:val="en-US" w:eastAsia="zh-CN"/>
              </w:rPr>
            </m:ctrlPr>
          </m:sSubPr>
          <m:e>
            <m:r>
              <m:rPr>
                <m:sty m:val="p"/>
              </m:rPr>
              <w:rPr>
                <w:rFonts w:hint="eastAsia" w:ascii="DejaVu Math TeX Gyre" w:hAnsi="DejaVu Math TeX Gyre"/>
                <w:color w:val="auto"/>
                <w:lang w:val="en-US" w:eastAsia="zh-CN"/>
              </w:rPr>
              <m:t>E</m:t>
            </m:r>
            <m:ctrlPr>
              <w:rPr>
                <w:rFonts w:hint="eastAsia" w:ascii="DejaVu Math TeX Gyre" w:hAnsi="DejaVu Math TeX Gyre"/>
                <w:color w:val="auto"/>
                <w:lang w:val="en-US" w:eastAsia="zh-CN"/>
              </w:rPr>
            </m:ctrlPr>
          </m:e>
          <m:sub>
            <m:r>
              <m:rPr>
                <m:sty m:val="p"/>
              </m:rPr>
              <w:rPr>
                <w:rFonts w:hint="eastAsia" w:ascii="DejaVu Math TeX Gyre" w:hAnsi="DejaVu Math TeX Gyre"/>
                <w:color w:val="auto"/>
                <w:lang w:val="en-US" w:eastAsia="zh-CN"/>
              </w:rPr>
              <m:t>3</m:t>
            </m:r>
            <m:ctrlPr>
              <w:rPr>
                <w:rFonts w:hint="eastAsia" w:ascii="DejaVu Math TeX Gyre" w:hAnsi="DejaVu Math TeX Gyre"/>
                <w:color w:val="auto"/>
                <w:lang w:val="en-US" w:eastAsia="zh-CN"/>
              </w:rPr>
            </m:ctrlPr>
          </m:sub>
        </m:sSub>
      </m:oMath>
      <w:r>
        <w:rPr>
          <w:rFonts w:hint="eastAsia"/>
          <w:color w:val="auto"/>
          <w:lang w:val="en-US" w:eastAsia="zh-CN"/>
        </w:rPr>
        <w:t>——能量回收及利用过程中消耗的能量，单位为吨标准煤（tce）。</w:t>
      </w:r>
    </w:p>
    <w:p w14:paraId="0967826C">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同时，考虑到统计报告期内生产负荷的波动可能影响余能产生量，进而影响节能量计算结果，限定项目实施前后边界内的产品产量变化不超过20%，且用于计算能量转化效率的参数均有效可得时。</w:t>
      </w:r>
    </w:p>
    <w:p w14:paraId="46D0AEDB">
      <w:pPr>
        <w:pStyle w:val="7"/>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另外，根据《国家发展改革委 财政部关于印发&lt;节能项目节能量审核指南&gt;的通知文件》、GB/T 13234-2018、GB/T 28750-2012中节能量确定方法，并参照DB11/T 1641-2024《节能技术改造项目节能量审核指南》，判定以上三种节能量的计算方法合理可行。</w:t>
      </w:r>
    </w:p>
    <w:p w14:paraId="0B31BB39">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eastAsia"/>
          <w:color w:val="auto"/>
          <w:lang w:val="en-US" w:eastAsia="zh-CN"/>
        </w:rPr>
      </w:pPr>
      <w:r>
        <w:rPr>
          <w:rFonts w:hint="eastAsia"/>
          <w:color w:val="auto"/>
          <w:lang w:val="en-US" w:eastAsia="zh-CN"/>
        </w:rPr>
        <w:t>（四）数据来源</w:t>
      </w:r>
    </w:p>
    <w:p w14:paraId="31BE9C2F">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default" w:ascii="仿宋_GB2312" w:hAnsi="仿宋_GB2312" w:eastAsia="仿宋_GB2312" w:cs="仿宋_GB2312"/>
          <w:bCs w:val="0"/>
          <w:color w:val="0000FF"/>
          <w:kern w:val="0"/>
          <w:sz w:val="32"/>
          <w:szCs w:val="32"/>
          <w:lang w:val="en-US" w:eastAsia="zh-CN" w:bidi="ar-SA"/>
        </w:rPr>
      </w:pPr>
      <w:r>
        <w:rPr>
          <w:rFonts w:hint="eastAsia" w:ascii="仿宋_GB2312" w:hAnsi="仿宋_GB2312" w:eastAsia="仿宋_GB2312" w:cs="仿宋_GB2312"/>
          <w:bCs w:val="0"/>
          <w:color w:val="0000FF"/>
          <w:kern w:val="0"/>
          <w:sz w:val="32"/>
          <w:szCs w:val="32"/>
          <w:lang w:val="en-US" w:eastAsia="zh-CN" w:bidi="ar-SA"/>
        </w:rPr>
        <w:t>为保证用于节能量计算的数据准确、可靠，且与项目边界相对应，本标准参考DB11/T 1641-2024对数据来源做了以下规定：</w:t>
      </w:r>
    </w:p>
    <w:p w14:paraId="54C9E74B">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default" w:ascii="仿宋_GB2312" w:hAnsi="仿宋_GB2312" w:eastAsia="仿宋_GB2312" w:cs="仿宋_GB2312"/>
          <w:bCs w:val="0"/>
          <w:color w:val="0000FF"/>
          <w:kern w:val="0"/>
          <w:sz w:val="32"/>
          <w:szCs w:val="32"/>
          <w:lang w:val="en-US" w:eastAsia="zh-CN" w:bidi="ar-SA"/>
        </w:rPr>
      </w:pPr>
      <w:r>
        <w:rPr>
          <w:rFonts w:hint="eastAsia" w:ascii="仿宋_GB2312" w:hAnsi="仿宋_GB2312" w:eastAsia="仿宋_GB2312" w:cs="仿宋_GB2312"/>
          <w:bCs w:val="0"/>
          <w:color w:val="0000FF"/>
          <w:kern w:val="0"/>
          <w:sz w:val="32"/>
          <w:szCs w:val="32"/>
          <w:lang w:val="en-US" w:eastAsia="zh-CN" w:bidi="ar-SA"/>
        </w:rPr>
        <w:t>1.能耗数据及相关参数（温度、压力、流量等）应均来自对应计量单元的计量仪表，且计量仪表应处于校准/检定有效状态，应查阅计量仪表的校准证书。例如某车间有1#生产线、2#生产线两套独立设备，共用1台总电表。企业申报1#生产线节能改造项目，却直接用车间总电表数据计算节能量，总电表包含了2#生产线、车间照明、空压机等无关能耗，不属于1#线专属计量单元，会导致核算的基准能耗、实际能耗都偏大，算出的节能量可能虚高。计量仪表不定期校准/检定则可能出现测量值与实际值偏差较大的情况。</w:t>
      </w:r>
    </w:p>
    <w:p w14:paraId="2870EBD8">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default" w:ascii="仿宋_GB2312" w:hAnsi="仿宋_GB2312" w:eastAsia="仿宋_GB2312" w:cs="仿宋_GB2312"/>
          <w:bCs w:val="0"/>
          <w:color w:val="0000FF"/>
          <w:kern w:val="0"/>
          <w:sz w:val="32"/>
          <w:szCs w:val="32"/>
          <w:lang w:val="en-US" w:eastAsia="zh-CN" w:bidi="ar-SA"/>
        </w:rPr>
      </w:pPr>
      <w:r>
        <w:rPr>
          <w:rFonts w:hint="eastAsia" w:ascii="仿宋_GB2312" w:hAnsi="仿宋_GB2312" w:eastAsia="仿宋_GB2312" w:cs="仿宋_GB2312"/>
          <w:bCs w:val="0"/>
          <w:color w:val="0000FF"/>
          <w:kern w:val="0"/>
          <w:sz w:val="32"/>
          <w:szCs w:val="32"/>
          <w:lang w:val="en-US" w:eastAsia="zh-CN" w:bidi="ar-SA"/>
        </w:rPr>
        <w:t>2.热值、效率等参数应采用测试计算获得，测试应在实际运行的工况下进行。例如锅炉燃煤热值应采用入炉煤定期测试后，计算加权平均值得到才更符合实际运行工况；锅炉效率可使用具备资质的第三方检测机构，在运行工况下进行检测后，出具的检测结果，而不应采用锅炉设计资料上的设计效率。</w:t>
      </w:r>
    </w:p>
    <w:p w14:paraId="4E395F9D">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eastAsia" w:ascii="仿宋_GB2312" w:hAnsi="仿宋_GB2312" w:eastAsia="仿宋_GB2312" w:cs="仿宋_GB2312"/>
          <w:bCs w:val="0"/>
          <w:color w:val="0000FF"/>
          <w:kern w:val="0"/>
          <w:sz w:val="32"/>
          <w:szCs w:val="32"/>
          <w:lang w:val="en-US" w:eastAsia="zh-CN" w:bidi="ar-SA"/>
        </w:rPr>
      </w:pPr>
      <w:r>
        <w:rPr>
          <w:rFonts w:hint="eastAsia" w:ascii="仿宋_GB2312" w:hAnsi="仿宋_GB2312" w:eastAsia="仿宋_GB2312" w:cs="仿宋_GB2312"/>
          <w:bCs w:val="0"/>
          <w:color w:val="0000FF"/>
          <w:kern w:val="0"/>
          <w:sz w:val="32"/>
          <w:szCs w:val="32"/>
          <w:lang w:val="en-US" w:eastAsia="zh-CN" w:bidi="ar-SA"/>
        </w:rPr>
        <w:t>3.能耗数据存在多个来源时，优先级依次为：计量统计数据＞现场测试/监测结果＞第三方检测报告＞财务凭证。选用非优先等级数据时，须书面说明理由。</w:t>
      </w:r>
    </w:p>
    <w:p w14:paraId="0217F115">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Fonts w:hint="eastAsia" w:ascii="仿宋_GB2312" w:hAnsi="仿宋_GB2312" w:eastAsia="仿宋_GB2312" w:cs="仿宋_GB2312"/>
          <w:bCs w:val="0"/>
          <w:color w:val="0000FF"/>
          <w:kern w:val="0"/>
          <w:sz w:val="32"/>
          <w:szCs w:val="32"/>
          <w:lang w:val="en-US" w:eastAsia="zh-CN" w:bidi="ar-SA"/>
        </w:rPr>
      </w:pPr>
      <w:r>
        <w:rPr>
          <w:rFonts w:hint="eastAsia" w:ascii="仿宋_GB2312" w:hAnsi="仿宋_GB2312" w:eastAsia="仿宋_GB2312" w:cs="仿宋_GB2312"/>
          <w:bCs w:val="0"/>
          <w:color w:val="0000FF"/>
          <w:kern w:val="0"/>
          <w:sz w:val="32"/>
          <w:szCs w:val="32"/>
          <w:lang w:val="en-US" w:eastAsia="zh-CN" w:bidi="ar-SA"/>
        </w:rPr>
        <w:t>各类数据适用说明：计量统计数据可完整匹配基期及报告期，贴合实际生产工况，故优先级最高；测试、监测结果仅反映特定时段与工况，优先级次之；第三方检测报告覆盖周期更短，排位在后；财务凭证仅体现企业整体能耗，无法精准对应改造单元能耗，仅作参考使用。</w:t>
      </w:r>
    </w:p>
    <w:p w14:paraId="7505F6C8">
      <w:pPr>
        <w:rPr>
          <w:rFonts w:hint="default" w:ascii="仿宋_GB2312" w:hAnsi="仿宋_GB2312" w:eastAsia="仿宋_GB2312" w:cs="仿宋_GB2312"/>
          <w:bCs w:val="0"/>
          <w:color w:val="0000FF"/>
          <w:kern w:val="0"/>
          <w:sz w:val="32"/>
          <w:szCs w:val="32"/>
          <w:lang w:val="en-US" w:eastAsia="zh-CN" w:bidi="ar-SA"/>
        </w:rPr>
      </w:pPr>
      <w:r>
        <w:rPr>
          <w:rFonts w:hint="eastAsia" w:ascii="仿宋_GB2312" w:hAnsi="仿宋_GB2312" w:eastAsia="仿宋_GB2312" w:cs="仿宋_GB2312"/>
          <w:bCs w:val="0"/>
          <w:color w:val="0000FF"/>
          <w:kern w:val="0"/>
          <w:sz w:val="32"/>
          <w:szCs w:val="32"/>
          <w:lang w:val="en-US" w:eastAsia="zh-CN" w:bidi="ar-SA"/>
        </w:rPr>
        <w:t>4.用于项目节能量计算的生产数据（处置量等）应来自于有效的生产统计记录，以确保生产数据如产品产量与实际生产情况相符。</w:t>
      </w:r>
    </w:p>
    <w:p w14:paraId="0B027E67">
      <w:pPr>
        <w:pStyle w:val="4"/>
        <w:keepNext w:val="0"/>
        <w:keepLines w:val="0"/>
        <w:pageBreakBefore w:val="0"/>
        <w:widowControl w:val="0"/>
        <w:kinsoku/>
        <w:wordWrap/>
        <w:overflowPunct/>
        <w:topLinePunct w:val="0"/>
        <w:autoSpaceDE/>
        <w:autoSpaceDN/>
        <w:bidi w:val="0"/>
        <w:adjustRightInd/>
        <w:snapToGrid/>
        <w:spacing w:after="0" w:line="578" w:lineRule="exact"/>
        <w:textAlignment w:val="auto"/>
        <w:rPr>
          <w:rStyle w:val="18"/>
          <w:rFonts w:hint="eastAsia" w:ascii="仿宋_GB2312" w:hAnsi="仿宋_GB2312" w:eastAsia="仿宋_GB2312" w:cs="仿宋_GB2312"/>
          <w:bCs/>
          <w:color w:val="auto"/>
          <w:lang w:val="en-US" w:eastAsia="zh-CN"/>
        </w:rPr>
      </w:pPr>
      <w:r>
        <w:rPr>
          <w:rFonts w:hint="eastAsia"/>
          <w:color w:val="auto"/>
          <w:lang w:val="en-US" w:eastAsia="zh-CN"/>
        </w:rPr>
        <w:t>（五）数据缺失处理</w:t>
      </w:r>
    </w:p>
    <w:p w14:paraId="79FD3C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eastAsia" w:ascii="Times New Roman" w:hAnsi="Times New Roman" w:cs="宋体"/>
          <w:bCs w:val="0"/>
          <w:color w:val="auto"/>
          <w:kern w:val="0"/>
          <w:sz w:val="32"/>
          <w:szCs w:val="24"/>
          <w:lang w:val="en-US" w:eastAsia="zh-CN" w:bidi="ar-SA"/>
        </w:rPr>
      </w:pPr>
      <w:r>
        <w:rPr>
          <w:rFonts w:hint="eastAsia" w:ascii="Times New Roman" w:hAnsi="Times New Roman" w:cs="宋体"/>
          <w:bCs w:val="0"/>
          <w:color w:val="auto"/>
          <w:kern w:val="0"/>
          <w:sz w:val="32"/>
          <w:szCs w:val="24"/>
          <w:lang w:val="en-US" w:eastAsia="zh-CN" w:bidi="ar-SA"/>
        </w:rPr>
        <w:t>当计算节能量的相关数据无法按照本标准其他条款获取时，项目可结合实际情况，经过充分评估后进行缺失处理。可采用的处理方法为：</w:t>
      </w:r>
    </w:p>
    <w:p w14:paraId="776881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default"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1.基期能耗数据存在缺失时，可选取生产规模、工况条件基本一致的同期历史数据进行补全。例如，某企业节能改造项目以改造前一自然年作为基期，若某月因计量仪表故障造成能耗数据缺失，可选用产量、生产条件相近的历史月度数据替代，完成基期能耗核算。</w:t>
      </w:r>
    </w:p>
    <w:p w14:paraId="2B8DC2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578" w:lineRule="exact"/>
        <w:ind w:left="0" w:right="0"/>
        <w:jc w:val="left"/>
        <w:textAlignment w:val="auto"/>
        <w:rPr>
          <w:rFonts w:hint="default" w:ascii="仿宋_GB2312" w:hAnsi="仿宋_GB2312" w:eastAsia="仿宋_GB2312" w:cs="仿宋_GB2312"/>
          <w:color w:val="0000FF"/>
          <w:kern w:val="0"/>
          <w:sz w:val="32"/>
          <w:szCs w:val="32"/>
          <w:lang w:val="en-US" w:eastAsia="zh-CN" w:bidi="ar-SA"/>
        </w:rPr>
      </w:pPr>
      <w:r>
        <w:rPr>
          <w:rFonts w:hint="eastAsia" w:ascii="仿宋_GB2312" w:hAnsi="仿宋_GB2312" w:eastAsia="仿宋_GB2312" w:cs="仿宋_GB2312"/>
          <w:color w:val="0000FF"/>
          <w:kern w:val="0"/>
          <w:sz w:val="32"/>
          <w:szCs w:val="32"/>
          <w:lang w:val="en-US" w:eastAsia="zh-CN" w:bidi="ar-SA"/>
        </w:rPr>
        <w:t>2.能耗统计时段原则上连续3个月及以上。受项目验收条件限制不足3个月的，须覆盖一个完整稳定生产周期；若3个月时长仍无法覆盖生产周期，统计时间顺延延长。</w:t>
      </w:r>
    </w:p>
    <w:p w14:paraId="19EE60CE">
      <w:pPr>
        <w:pStyle w:val="3"/>
        <w:keepNext w:val="0"/>
        <w:keepLines w:val="0"/>
        <w:pageBreakBefore w:val="0"/>
        <w:kinsoku/>
        <w:wordWrap/>
        <w:bidi w:val="0"/>
        <w:snapToGrid/>
        <w:spacing w:after="0" w:line="578" w:lineRule="exact"/>
        <w:textAlignment w:val="auto"/>
        <w:rPr>
          <w:color w:val="auto"/>
        </w:rPr>
      </w:pPr>
      <w:r>
        <w:rPr>
          <w:color w:val="auto"/>
        </w:rPr>
        <w:t>六</w:t>
      </w:r>
      <w:r>
        <w:rPr>
          <w:rFonts w:hint="eastAsia"/>
          <w:color w:val="auto"/>
          <w:lang w:eastAsia="zh-CN"/>
        </w:rPr>
        <w:t>、</w:t>
      </w:r>
      <w:r>
        <w:rPr>
          <w:color w:val="auto"/>
        </w:rPr>
        <w:t>重大意见分歧的处理依据和结果</w:t>
      </w:r>
    </w:p>
    <w:p w14:paraId="368E14E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bidi w:val="0"/>
        <w:snapToGrid/>
        <w:spacing w:before="0" w:beforeAutospacing="0" w:afterAutospacing="0" w:line="578" w:lineRule="exact"/>
        <w:ind w:right="0"/>
        <w:textAlignment w:val="auto"/>
        <w:rPr>
          <w:color w:val="auto"/>
        </w:rPr>
      </w:pPr>
      <w:r>
        <w:rPr>
          <w:rFonts w:hint="eastAsia"/>
          <w:color w:val="auto"/>
        </w:rPr>
        <w:t>本标准研制过程中无重大分歧意见。</w:t>
      </w:r>
    </w:p>
    <w:p w14:paraId="02E54CE8">
      <w:pPr>
        <w:pStyle w:val="3"/>
        <w:keepNext w:val="0"/>
        <w:keepLines w:val="0"/>
        <w:pageBreakBefore w:val="0"/>
        <w:kinsoku/>
        <w:wordWrap/>
        <w:bidi w:val="0"/>
        <w:snapToGrid/>
        <w:spacing w:after="0" w:line="578" w:lineRule="exact"/>
        <w:textAlignment w:val="auto"/>
        <w:rPr>
          <w:color w:val="auto"/>
        </w:rPr>
      </w:pPr>
      <w:r>
        <w:rPr>
          <w:color w:val="auto"/>
        </w:rPr>
        <w:t>七</w:t>
      </w:r>
      <w:r>
        <w:rPr>
          <w:rFonts w:hint="eastAsia"/>
          <w:color w:val="auto"/>
          <w:lang w:eastAsia="zh-CN"/>
        </w:rPr>
        <w:t>、</w:t>
      </w:r>
      <w:r>
        <w:rPr>
          <w:color w:val="auto"/>
        </w:rPr>
        <w:t>实施标准的措施</w:t>
      </w:r>
    </w:p>
    <w:p w14:paraId="2EE52132">
      <w:pPr>
        <w:keepNext w:val="0"/>
        <w:keepLines w:val="0"/>
        <w:pageBreakBefore w:val="0"/>
        <w:kinsoku/>
        <w:wordWrap/>
        <w:autoSpaceDE w:val="0"/>
        <w:autoSpaceDN w:val="0"/>
        <w:bidi w:val="0"/>
        <w:adjustRightInd w:val="0"/>
        <w:snapToGrid/>
        <w:spacing w:line="578" w:lineRule="exact"/>
        <w:ind w:firstLine="640" w:firstLineChars="200"/>
        <w:textAlignment w:val="auto"/>
        <w:outlineLvl w:val="0"/>
        <w:rPr>
          <w:rFonts w:hint="eastAsia" w:ascii="Times New Roman" w:hAnsi="Times New Roman" w:eastAsia="仿宋_GB2312" w:cs="宋体"/>
          <w:color w:val="auto"/>
          <w:kern w:val="0"/>
          <w:sz w:val="32"/>
          <w:szCs w:val="24"/>
          <w:lang w:val="en-US" w:eastAsia="zh-CN" w:bidi="ar-SA"/>
        </w:rPr>
      </w:pPr>
      <w:r>
        <w:rPr>
          <w:rFonts w:hint="eastAsia" w:ascii="Times New Roman" w:hAnsi="Times New Roman" w:eastAsia="仿宋_GB2312" w:cs="宋体"/>
          <w:color w:val="auto"/>
          <w:kern w:val="0"/>
          <w:sz w:val="32"/>
          <w:szCs w:val="24"/>
          <w:lang w:val="en-US" w:eastAsia="zh-CN" w:bidi="ar-SA"/>
        </w:rPr>
        <w:t>（一）标准报批发布后，成立标准宣贯工作组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151D7BEA">
      <w:pPr>
        <w:keepNext w:val="0"/>
        <w:keepLines w:val="0"/>
        <w:pageBreakBefore w:val="0"/>
        <w:kinsoku/>
        <w:wordWrap/>
        <w:autoSpaceDE w:val="0"/>
        <w:autoSpaceDN w:val="0"/>
        <w:bidi w:val="0"/>
        <w:adjustRightInd w:val="0"/>
        <w:snapToGrid/>
        <w:spacing w:line="578" w:lineRule="exact"/>
        <w:ind w:firstLine="640" w:firstLineChars="200"/>
        <w:textAlignment w:val="auto"/>
        <w:outlineLvl w:val="0"/>
        <w:rPr>
          <w:rFonts w:hint="eastAsia" w:ascii="Times New Roman" w:hAnsi="Times New Roman" w:eastAsia="仿宋_GB2312" w:cs="宋体"/>
          <w:color w:val="auto"/>
          <w:kern w:val="0"/>
          <w:sz w:val="32"/>
          <w:szCs w:val="24"/>
          <w:lang w:val="en-US" w:eastAsia="zh-CN" w:bidi="ar-SA"/>
        </w:rPr>
      </w:pPr>
      <w:r>
        <w:rPr>
          <w:rFonts w:hint="eastAsia" w:ascii="Times New Roman" w:hAnsi="Times New Roman" w:eastAsia="仿宋_GB2312" w:cs="宋体"/>
          <w:color w:val="auto"/>
          <w:kern w:val="0"/>
          <w:sz w:val="32"/>
          <w:szCs w:val="24"/>
          <w:lang w:val="en-US" w:eastAsia="zh-CN" w:bidi="ar-SA"/>
        </w:rPr>
        <w:t>（二）组织开展标准宣贯培训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w:t>
      </w:r>
    </w:p>
    <w:p w14:paraId="2BFAF993">
      <w:pPr>
        <w:keepNext w:val="0"/>
        <w:keepLines w:val="0"/>
        <w:pageBreakBefore w:val="0"/>
        <w:kinsoku/>
        <w:wordWrap/>
        <w:autoSpaceDE w:val="0"/>
        <w:autoSpaceDN w:val="0"/>
        <w:bidi w:val="0"/>
        <w:adjustRightInd w:val="0"/>
        <w:snapToGrid/>
        <w:spacing w:line="578" w:lineRule="exact"/>
        <w:ind w:firstLine="640" w:firstLineChars="200"/>
        <w:textAlignment w:val="auto"/>
        <w:outlineLvl w:val="0"/>
        <w:rPr>
          <w:rFonts w:hint="eastAsia" w:ascii="Times New Roman" w:hAnsi="Times New Roman" w:eastAsia="仿宋_GB2312" w:cs="宋体"/>
          <w:color w:val="auto"/>
          <w:kern w:val="0"/>
          <w:sz w:val="32"/>
          <w:szCs w:val="24"/>
          <w:lang w:val="en-US" w:eastAsia="zh-CN" w:bidi="ar-SA"/>
        </w:rPr>
      </w:pPr>
      <w:r>
        <w:rPr>
          <w:rFonts w:hint="eastAsia" w:ascii="Times New Roman" w:hAnsi="Times New Roman" w:eastAsia="仿宋_GB2312" w:cs="宋体"/>
          <w:color w:val="auto"/>
          <w:kern w:val="0"/>
          <w:sz w:val="32"/>
          <w:szCs w:val="24"/>
          <w:lang w:val="en-US" w:eastAsia="zh-CN" w:bidi="ar-SA"/>
        </w:rPr>
        <w:t>（三）开展标准实施交流会，收集标准实施反馈信息标准起草小组深入各市县相关机构技术人员召开标准实施交流会，听取标准实施过程中存在的问题并做好记录和解答，对存在的问题组织专家团队进行研讨，为标准的复审修订做准备。</w:t>
      </w:r>
    </w:p>
    <w:p w14:paraId="0E3E9501">
      <w:pPr>
        <w:keepNext w:val="0"/>
        <w:keepLines w:val="0"/>
        <w:pageBreakBefore w:val="0"/>
        <w:kinsoku/>
        <w:wordWrap/>
        <w:autoSpaceDE w:val="0"/>
        <w:autoSpaceDN w:val="0"/>
        <w:bidi w:val="0"/>
        <w:adjustRightInd w:val="0"/>
        <w:snapToGrid/>
        <w:spacing w:line="578" w:lineRule="exact"/>
        <w:ind w:firstLine="640" w:firstLineChars="200"/>
        <w:textAlignment w:val="auto"/>
        <w:outlineLvl w:val="0"/>
        <w:rPr>
          <w:rFonts w:hint="eastAsia" w:ascii="Times New Roman" w:hAnsi="Times New Roman" w:eastAsia="仿宋_GB2312" w:cs="宋体"/>
          <w:color w:val="auto"/>
          <w:kern w:val="0"/>
          <w:sz w:val="32"/>
          <w:szCs w:val="24"/>
          <w:lang w:val="en-US" w:eastAsia="zh-CN" w:bidi="ar-SA"/>
        </w:rPr>
      </w:pPr>
      <w:r>
        <w:rPr>
          <w:rFonts w:hint="eastAsia" w:ascii="Times New Roman" w:hAnsi="Times New Roman" w:eastAsia="仿宋_GB2312" w:cs="宋体"/>
          <w:color w:val="auto"/>
          <w:kern w:val="0"/>
          <w:sz w:val="32"/>
          <w:szCs w:val="24"/>
          <w:lang w:val="en-US" w:eastAsia="zh-CN" w:bidi="ar-SA"/>
        </w:rPr>
        <w:t>（四）开展标准实施效果评估标准实施满2年，每年标准宣贯工作组采取网络调查、问卷调查、实地调研、召开座谈会或论证会、专家咨询等方式开展标准实施效果评估，并形成标准实施效果评估报告，为标准的复审修订做准备。</w:t>
      </w:r>
    </w:p>
    <w:p w14:paraId="41DFCADE">
      <w:pPr>
        <w:keepNext w:val="0"/>
        <w:keepLines w:val="0"/>
        <w:pageBreakBefore w:val="0"/>
        <w:kinsoku/>
        <w:wordWrap/>
        <w:autoSpaceDE w:val="0"/>
        <w:autoSpaceDN w:val="0"/>
        <w:bidi w:val="0"/>
        <w:adjustRightInd w:val="0"/>
        <w:snapToGrid/>
        <w:spacing w:line="578" w:lineRule="exact"/>
        <w:ind w:firstLine="640" w:firstLineChars="200"/>
        <w:textAlignment w:val="auto"/>
        <w:outlineLvl w:val="0"/>
        <w:rPr>
          <w:rFonts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八、其他应当说明的事项</w:t>
      </w:r>
    </w:p>
    <w:p w14:paraId="41767F4A">
      <w:pPr>
        <w:keepNext w:val="0"/>
        <w:keepLines w:val="0"/>
        <w:pageBreakBefore w:val="0"/>
        <w:kinsoku/>
        <w:wordWrap/>
        <w:bidi w:val="0"/>
        <w:snapToGrid/>
        <w:spacing w:line="578" w:lineRule="exact"/>
        <w:ind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无。</w:t>
      </w:r>
    </w:p>
    <w:p w14:paraId="79FE0F26">
      <w:pPr>
        <w:pStyle w:val="13"/>
        <w:keepNext w:val="0"/>
        <w:keepLines w:val="0"/>
        <w:pageBreakBefore w:val="0"/>
        <w:kinsoku/>
        <w:wordWrap/>
        <w:bidi w:val="0"/>
        <w:snapToGrid/>
        <w:spacing w:line="578" w:lineRule="exact"/>
        <w:textAlignment w:val="auto"/>
        <w:rPr>
          <w:rFonts w:ascii="仿宋_GB2312" w:eastAsia="仿宋_GB2312"/>
          <w:color w:val="auto"/>
          <w:sz w:val="28"/>
          <w:szCs w:val="28"/>
        </w:rPr>
      </w:pPr>
    </w:p>
    <w:p w14:paraId="229819C5">
      <w:pPr>
        <w:pStyle w:val="13"/>
        <w:keepNext w:val="0"/>
        <w:keepLines w:val="0"/>
        <w:pageBreakBefore w:val="0"/>
        <w:kinsoku/>
        <w:wordWrap/>
        <w:bidi w:val="0"/>
        <w:snapToGrid/>
        <w:spacing w:line="578" w:lineRule="exact"/>
        <w:textAlignment w:val="auto"/>
        <w:rPr>
          <w:rFonts w:ascii="仿宋_GB2312" w:eastAsia="仿宋_GB2312"/>
          <w:color w:val="auto"/>
          <w:sz w:val="28"/>
          <w:szCs w:val="28"/>
        </w:rPr>
      </w:pPr>
    </w:p>
    <w:p w14:paraId="402162DF">
      <w:pPr>
        <w:keepNext w:val="0"/>
        <w:keepLines w:val="0"/>
        <w:pageBreakBefore w:val="0"/>
        <w:kinsoku/>
        <w:wordWrap/>
        <w:bidi w:val="0"/>
        <w:snapToGrid/>
        <w:spacing w:line="578" w:lineRule="exact"/>
        <w:ind w:left="0" w:leftChars="0" w:firstLine="0" w:firstLineChars="0"/>
        <w:jc w:val="right"/>
        <w:textAlignment w:val="auto"/>
        <w:rPr>
          <w:rFonts w:ascii="仿宋_GB2312" w:eastAsia="仿宋_GB2312"/>
          <w:color w:val="auto"/>
          <w:sz w:val="32"/>
          <w:szCs w:val="32"/>
        </w:rPr>
      </w:pPr>
      <w:r>
        <w:rPr>
          <w:rFonts w:hint="eastAsia" w:ascii="仿宋_GB2312" w:eastAsia="仿宋_GB2312"/>
          <w:color w:val="auto"/>
          <w:sz w:val="32"/>
          <w:szCs w:val="32"/>
        </w:rPr>
        <w:t>团体标准《</w:t>
      </w:r>
      <w:r>
        <w:rPr>
          <w:rFonts w:hint="eastAsia" w:ascii="仿宋_GB2312"/>
          <w:color w:val="auto"/>
          <w:sz w:val="32"/>
          <w:szCs w:val="32"/>
          <w:lang w:val="en-US" w:eastAsia="zh-CN"/>
        </w:rPr>
        <w:t>工业节能技术改造项目节能量计算规范</w:t>
      </w:r>
      <w:r>
        <w:rPr>
          <w:rFonts w:hint="eastAsia" w:ascii="仿宋_GB2312" w:eastAsia="仿宋_GB2312"/>
          <w:color w:val="auto"/>
          <w:sz w:val="32"/>
          <w:szCs w:val="32"/>
        </w:rPr>
        <w:t>》</w:t>
      </w:r>
    </w:p>
    <w:p w14:paraId="5BDAE9B7">
      <w:pPr>
        <w:keepNext w:val="0"/>
        <w:keepLines w:val="0"/>
        <w:pageBreakBefore w:val="0"/>
        <w:kinsoku/>
        <w:wordWrap/>
        <w:bidi w:val="0"/>
        <w:snapToGrid/>
        <w:spacing w:line="578" w:lineRule="exact"/>
        <w:ind w:firstLine="640" w:firstLineChars="200"/>
        <w:textAlignment w:val="auto"/>
        <w:rPr>
          <w:rFonts w:ascii="仿宋_GB2312" w:eastAsia="仿宋_GB2312"/>
          <w:color w:val="auto"/>
          <w:sz w:val="32"/>
          <w:szCs w:val="32"/>
        </w:rPr>
      </w:pPr>
      <w:r>
        <w:rPr>
          <w:rFonts w:hint="eastAsia" w:ascii="仿宋" w:hAnsi="仿宋" w:eastAsia="仿宋"/>
          <w:color w:val="auto"/>
          <w:sz w:val="32"/>
          <w:szCs w:val="32"/>
        </w:rPr>
        <w:t xml:space="preserve">                             </w:t>
      </w:r>
      <w:r>
        <w:rPr>
          <w:rFonts w:hint="eastAsia" w:ascii="仿宋_GB2312" w:eastAsia="仿宋_GB2312"/>
          <w:color w:val="auto"/>
          <w:sz w:val="32"/>
          <w:szCs w:val="32"/>
        </w:rPr>
        <w:t>标准编制工作组</w:t>
      </w:r>
    </w:p>
    <w:p w14:paraId="7844F01D">
      <w:pPr>
        <w:keepNext w:val="0"/>
        <w:keepLines w:val="0"/>
        <w:pageBreakBefore w:val="0"/>
        <w:kinsoku/>
        <w:wordWrap/>
        <w:bidi w:val="0"/>
        <w:snapToGrid/>
        <w:spacing w:line="578" w:lineRule="exact"/>
        <w:ind w:firstLine="640" w:firstLineChars="200"/>
        <w:textAlignment w:val="auto"/>
        <w:rPr>
          <w:rFonts w:ascii="仿宋_GB2312" w:eastAsia="仿宋_GB2312"/>
          <w:color w:val="auto"/>
          <w:sz w:val="32"/>
          <w:szCs w:val="32"/>
        </w:rPr>
      </w:pPr>
      <w:r>
        <w:rPr>
          <w:rFonts w:hint="eastAsia" w:ascii="仿宋" w:hAnsi="仿宋" w:eastAsia="仿宋"/>
          <w:color w:val="auto"/>
          <w:sz w:val="32"/>
          <w:szCs w:val="32"/>
        </w:rPr>
        <w:t xml:space="preserve">                             </w:t>
      </w:r>
      <w:r>
        <w:rPr>
          <w:rFonts w:hint="eastAsia" w:ascii="仿宋_GB2312" w:eastAsia="仿宋_GB2312"/>
          <w:color w:val="auto"/>
          <w:sz w:val="32"/>
          <w:szCs w:val="32"/>
        </w:rPr>
        <w:t>202</w:t>
      </w:r>
      <w:r>
        <w:rPr>
          <w:rFonts w:hint="eastAsia" w:ascii="仿宋_GB2312"/>
          <w:color w:val="auto"/>
          <w:sz w:val="32"/>
          <w:szCs w:val="32"/>
          <w:lang w:val="en-US" w:eastAsia="zh-CN"/>
        </w:rPr>
        <w:t>6</w:t>
      </w:r>
      <w:r>
        <w:rPr>
          <w:rFonts w:hint="eastAsia" w:ascii="仿宋_GB2312" w:eastAsia="仿宋_GB2312"/>
          <w:color w:val="auto"/>
          <w:sz w:val="32"/>
          <w:szCs w:val="32"/>
        </w:rPr>
        <w:t>年</w:t>
      </w:r>
      <w:r>
        <w:rPr>
          <w:rFonts w:hint="eastAsia" w:ascii="仿宋_GB2312"/>
          <w:color w:val="auto"/>
          <w:sz w:val="32"/>
          <w:szCs w:val="32"/>
          <w:lang w:val="en-US" w:eastAsia="zh-CN"/>
        </w:rPr>
        <w:t>4</w:t>
      </w:r>
      <w:r>
        <w:rPr>
          <w:rFonts w:hint="eastAsia" w:ascii="仿宋_GB2312" w:eastAsia="仿宋_GB2312"/>
          <w:color w:val="auto"/>
          <w:sz w:val="32"/>
          <w:szCs w:val="32"/>
        </w:rPr>
        <w:t>月</w:t>
      </w:r>
      <w:r>
        <w:rPr>
          <w:rFonts w:hint="eastAsia" w:ascii="仿宋_GB2312"/>
          <w:color w:val="auto"/>
          <w:sz w:val="32"/>
          <w:szCs w:val="32"/>
          <w:lang w:val="en-US" w:eastAsia="zh-CN"/>
        </w:rPr>
        <w:t xml:space="preserve">  </w:t>
      </w:r>
      <w:r>
        <w:rPr>
          <w:rFonts w:hint="eastAsia" w:ascii="仿宋_GB2312" w:eastAsia="仿宋_GB2312"/>
          <w:color w:val="auto"/>
          <w:sz w:val="32"/>
          <w:szCs w:val="32"/>
        </w:rPr>
        <w:t>日</w:t>
      </w:r>
    </w:p>
    <w:p w14:paraId="5680F2AF">
      <w:pPr>
        <w:pStyle w:val="8"/>
        <w:keepNext w:val="0"/>
        <w:keepLines w:val="0"/>
        <w:pageBreakBefore w:val="0"/>
        <w:kinsoku/>
        <w:wordWrap/>
        <w:bidi w:val="0"/>
        <w:snapToGrid/>
        <w:spacing w:after="0" w:afterLines="0" w:line="578" w:lineRule="exact"/>
        <w:ind w:left="0" w:leftChars="0" w:firstLine="640" w:firstLineChars="200"/>
        <w:textAlignment w:val="auto"/>
        <w:rPr>
          <w:color w:val="auto"/>
        </w:rPr>
      </w:pPr>
    </w:p>
    <w:sectPr>
      <w:pgSz w:w="11906" w:h="16838"/>
      <w:pgMar w:top="2098" w:right="1474" w:bottom="1984" w:left="1587" w:header="851" w:footer="992" w:gutter="0"/>
      <w:cols w:space="0" w:num="1"/>
      <w:rtlGutter w:val="0"/>
      <w:docGrid w:type="lines" w:linePitch="43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国标仿宋-GB / T 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DejaVu Math TeX Gyre">
    <w:panose1 w:val="02000503000000000000"/>
    <w:charset w:val="00"/>
    <w:family w:val="auto"/>
    <w:pitch w:val="default"/>
    <w:sig w:usb0="A10000EF" w:usb1="4201F9EE" w:usb2="02000000" w:usb3="00000000" w:csb0="60000193" w:csb1="0DD40000"/>
  </w:font>
  <w:font w:name="Cambria Math">
    <w:altName w:val="DejaVu Math TeX Gyre"/>
    <w:panose1 w:val="02040503050406030204"/>
    <w:charset w:val="00"/>
    <w:family w:val="auto"/>
    <w:pitch w:val="default"/>
    <w:sig w:usb0="00000000" w:usb1="00000000" w:usb2="02000000" w:usb3="00000000" w:csb0="2000019F"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 w:name="方正仿宋_GB2312">
    <w:panose1 w:val="02000000000000000000"/>
    <w:charset w:val="86"/>
    <w:family w:val="auto"/>
    <w:pitch w:val="default"/>
    <w:sig w:usb0="A00002BF" w:usb1="184F6CFA" w:usb2="00000012" w:usb3="00000000" w:csb0="00040001" w:csb1="00000000"/>
  </w:font>
  <w:font w:name="MS Mincho">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EB040"/>
    <w:multiLevelType w:val="singleLevel"/>
    <w:tmpl w:val="0BEEB040"/>
    <w:lvl w:ilvl="0" w:tentative="0">
      <w:start w:val="1"/>
      <w:numFmt w:val="chineseCounting"/>
      <w:suff w:val="nothing"/>
      <w:lvlText w:val="%1、"/>
      <w:lvlJc w:val="left"/>
      <w:rPr>
        <w:rFonts w:hint="eastAsia"/>
      </w:rPr>
    </w:lvl>
  </w:abstractNum>
  <w:abstractNum w:abstractNumId="1">
    <w:nsid w:val="1C81694C"/>
    <w:multiLevelType w:val="singleLevel"/>
    <w:tmpl w:val="1C81694C"/>
    <w:lvl w:ilvl="0" w:tentative="0">
      <w:start w:val="1"/>
      <w:numFmt w:val="chineseCounting"/>
      <w:suff w:val="nothing"/>
      <w:lvlText w:val="（%1）"/>
      <w:lvlJc w:val="left"/>
      <w:rPr>
        <w:rFonts w:hint="eastAsia"/>
      </w:rPr>
    </w:lvl>
  </w:abstractNum>
  <w:abstractNum w:abstractNumId="2">
    <w:nsid w:val="44C50F90"/>
    <w:multiLevelType w:val="multilevel"/>
    <w:tmpl w:val="44C50F90"/>
    <w:lvl w:ilvl="0" w:tentative="0">
      <w:start w:val="1"/>
      <w:numFmt w:val="lowerLetter"/>
      <w:pStyle w:val="25"/>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46260FA"/>
    <w:multiLevelType w:val="multilevel"/>
    <w:tmpl w:val="646260FA"/>
    <w:lvl w:ilvl="0" w:tentative="0">
      <w:start w:val="1"/>
      <w:numFmt w:val="decimal"/>
      <w:pStyle w:val="1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4"/>
      <w:suff w:val="nothing"/>
      <w:lvlText w:val="%1%2　"/>
      <w:lvlJc w:val="left"/>
      <w:pPr>
        <w:ind w:left="0" w:firstLine="0"/>
      </w:pPr>
      <w:rPr>
        <w:rFonts w:hint="eastAsia" w:ascii="黑体" w:eastAsia="黑体"/>
        <w:b w:val="0"/>
        <w:i w:val="0"/>
        <w:sz w:val="21"/>
      </w:rPr>
    </w:lvl>
    <w:lvl w:ilvl="2" w:tentative="0">
      <w:start w:val="1"/>
      <w:numFmt w:val="decimal"/>
      <w:pStyle w:val="2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45CDB"/>
    <w:rsid w:val="01A72E4F"/>
    <w:rsid w:val="035F45A6"/>
    <w:rsid w:val="03FEDADD"/>
    <w:rsid w:val="07852833"/>
    <w:rsid w:val="0C385867"/>
    <w:rsid w:val="0F152AFB"/>
    <w:rsid w:val="124F3E6F"/>
    <w:rsid w:val="128A74D9"/>
    <w:rsid w:val="12F931C4"/>
    <w:rsid w:val="16B72BAE"/>
    <w:rsid w:val="17BD52F1"/>
    <w:rsid w:val="17CA7E33"/>
    <w:rsid w:val="184814D2"/>
    <w:rsid w:val="18AB3CB7"/>
    <w:rsid w:val="18F170DB"/>
    <w:rsid w:val="191E3943"/>
    <w:rsid w:val="19B920BC"/>
    <w:rsid w:val="1A3B040A"/>
    <w:rsid w:val="1C2564C4"/>
    <w:rsid w:val="1C445CDB"/>
    <w:rsid w:val="1EAD3B85"/>
    <w:rsid w:val="1EBC2425"/>
    <w:rsid w:val="1FFE4B7B"/>
    <w:rsid w:val="1FFE549A"/>
    <w:rsid w:val="1FFF9194"/>
    <w:rsid w:val="20701D38"/>
    <w:rsid w:val="22205764"/>
    <w:rsid w:val="28180360"/>
    <w:rsid w:val="2A9EDE89"/>
    <w:rsid w:val="2D047A30"/>
    <w:rsid w:val="2F5F8BCE"/>
    <w:rsid w:val="2F7F37CC"/>
    <w:rsid w:val="30DD432B"/>
    <w:rsid w:val="313D27BB"/>
    <w:rsid w:val="3230603D"/>
    <w:rsid w:val="33DE7F19"/>
    <w:rsid w:val="346051D7"/>
    <w:rsid w:val="35B66A08"/>
    <w:rsid w:val="36D36D05"/>
    <w:rsid w:val="37EB9A15"/>
    <w:rsid w:val="384663AE"/>
    <w:rsid w:val="38761300"/>
    <w:rsid w:val="38FB618B"/>
    <w:rsid w:val="392B07F3"/>
    <w:rsid w:val="3A4726BB"/>
    <w:rsid w:val="3AD47F56"/>
    <w:rsid w:val="3B0752BB"/>
    <w:rsid w:val="3B283760"/>
    <w:rsid w:val="3B983701"/>
    <w:rsid w:val="3BF97640"/>
    <w:rsid w:val="3BFAA6FE"/>
    <w:rsid w:val="3EEE27AB"/>
    <w:rsid w:val="3F9410E8"/>
    <w:rsid w:val="3F99773D"/>
    <w:rsid w:val="40BF3D89"/>
    <w:rsid w:val="4202058A"/>
    <w:rsid w:val="433517D1"/>
    <w:rsid w:val="44437CF7"/>
    <w:rsid w:val="452723D4"/>
    <w:rsid w:val="47BD3387"/>
    <w:rsid w:val="491A0BFD"/>
    <w:rsid w:val="493517EC"/>
    <w:rsid w:val="49CB760A"/>
    <w:rsid w:val="49D41BAB"/>
    <w:rsid w:val="4B44444A"/>
    <w:rsid w:val="4B644064"/>
    <w:rsid w:val="4C2C776F"/>
    <w:rsid w:val="4CD26EC1"/>
    <w:rsid w:val="4D12627F"/>
    <w:rsid w:val="4F683409"/>
    <w:rsid w:val="4F7FC90D"/>
    <w:rsid w:val="517442CB"/>
    <w:rsid w:val="522D2509"/>
    <w:rsid w:val="523E560F"/>
    <w:rsid w:val="52501122"/>
    <w:rsid w:val="52D73903"/>
    <w:rsid w:val="53991573"/>
    <w:rsid w:val="548117E3"/>
    <w:rsid w:val="54FCC184"/>
    <w:rsid w:val="55654C60"/>
    <w:rsid w:val="55DD6AE6"/>
    <w:rsid w:val="57740B46"/>
    <w:rsid w:val="58EC3877"/>
    <w:rsid w:val="59FE6A2A"/>
    <w:rsid w:val="5AE94931"/>
    <w:rsid w:val="5B0FE11D"/>
    <w:rsid w:val="5B776DE7"/>
    <w:rsid w:val="5BAF36F3"/>
    <w:rsid w:val="5CFFD795"/>
    <w:rsid w:val="5D4751B3"/>
    <w:rsid w:val="5FBB1593"/>
    <w:rsid w:val="5FDFA63D"/>
    <w:rsid w:val="604B5E7E"/>
    <w:rsid w:val="61B01959"/>
    <w:rsid w:val="61ED793B"/>
    <w:rsid w:val="62705434"/>
    <w:rsid w:val="628C1B3D"/>
    <w:rsid w:val="62C1742B"/>
    <w:rsid w:val="646B48B3"/>
    <w:rsid w:val="646D0BEF"/>
    <w:rsid w:val="64947B59"/>
    <w:rsid w:val="65B41B8F"/>
    <w:rsid w:val="66B613D6"/>
    <w:rsid w:val="677772D0"/>
    <w:rsid w:val="68D370A0"/>
    <w:rsid w:val="6BEC9BD1"/>
    <w:rsid w:val="6CB02E89"/>
    <w:rsid w:val="6EAC5256"/>
    <w:rsid w:val="6EFD4B4D"/>
    <w:rsid w:val="6FD7C5B4"/>
    <w:rsid w:val="713FBA39"/>
    <w:rsid w:val="71594B6E"/>
    <w:rsid w:val="73637E80"/>
    <w:rsid w:val="73B24CE3"/>
    <w:rsid w:val="73B36957"/>
    <w:rsid w:val="73CE57CC"/>
    <w:rsid w:val="742D4577"/>
    <w:rsid w:val="74FA3E77"/>
    <w:rsid w:val="75CB5965"/>
    <w:rsid w:val="760416B8"/>
    <w:rsid w:val="760B0CFB"/>
    <w:rsid w:val="76FDE525"/>
    <w:rsid w:val="778925D9"/>
    <w:rsid w:val="77FF3F99"/>
    <w:rsid w:val="7836450F"/>
    <w:rsid w:val="78FDBC39"/>
    <w:rsid w:val="7A42746F"/>
    <w:rsid w:val="7A9B0394"/>
    <w:rsid w:val="7ADBBE14"/>
    <w:rsid w:val="7B14EA50"/>
    <w:rsid w:val="7BAF1616"/>
    <w:rsid w:val="7CD5F327"/>
    <w:rsid w:val="7CEFC3C8"/>
    <w:rsid w:val="7D7E3A1A"/>
    <w:rsid w:val="7DA71A0B"/>
    <w:rsid w:val="7FA76D4A"/>
    <w:rsid w:val="7FB744A1"/>
    <w:rsid w:val="7FC5A216"/>
    <w:rsid w:val="7FFF5B42"/>
    <w:rsid w:val="9C5EA6EB"/>
    <w:rsid w:val="A7B3916E"/>
    <w:rsid w:val="AAF762EB"/>
    <w:rsid w:val="B7BFF8CB"/>
    <w:rsid w:val="BBD8A64A"/>
    <w:rsid w:val="BBFB40C4"/>
    <w:rsid w:val="BCEF56A4"/>
    <w:rsid w:val="BDFF3924"/>
    <w:rsid w:val="BF9F52FD"/>
    <w:rsid w:val="BFB78EDD"/>
    <w:rsid w:val="BFBD017D"/>
    <w:rsid w:val="BFF6D9DF"/>
    <w:rsid w:val="BFF8AA7B"/>
    <w:rsid w:val="C7BDFA29"/>
    <w:rsid w:val="C7FB5C55"/>
    <w:rsid w:val="CF6F9D99"/>
    <w:rsid w:val="CFBF9C24"/>
    <w:rsid w:val="D5DD32E4"/>
    <w:rsid w:val="D6FF8272"/>
    <w:rsid w:val="D7FDFA34"/>
    <w:rsid w:val="DDFA192A"/>
    <w:rsid w:val="DDFF3608"/>
    <w:rsid w:val="DE3ED033"/>
    <w:rsid w:val="DF4DC630"/>
    <w:rsid w:val="DF769764"/>
    <w:rsid w:val="DFEFD3E5"/>
    <w:rsid w:val="DFFD111E"/>
    <w:rsid w:val="E5B2A0E6"/>
    <w:rsid w:val="E76F9AED"/>
    <w:rsid w:val="E7BFEF28"/>
    <w:rsid w:val="EAF72068"/>
    <w:rsid w:val="EBBB771A"/>
    <w:rsid w:val="ECF5FD94"/>
    <w:rsid w:val="F71F073A"/>
    <w:rsid w:val="F73DB5FB"/>
    <w:rsid w:val="F7EBBA71"/>
    <w:rsid w:val="F7FAB955"/>
    <w:rsid w:val="F7FE0259"/>
    <w:rsid w:val="F9C7D3F9"/>
    <w:rsid w:val="F9F9E01B"/>
    <w:rsid w:val="FAEAB256"/>
    <w:rsid w:val="FAEB90BA"/>
    <w:rsid w:val="FAF3AAA2"/>
    <w:rsid w:val="FB76B2D8"/>
    <w:rsid w:val="FBEE4702"/>
    <w:rsid w:val="FBFF7A70"/>
    <w:rsid w:val="FCF3E647"/>
    <w:rsid w:val="FDDB34A8"/>
    <w:rsid w:val="FF69830E"/>
    <w:rsid w:val="FF7B8551"/>
    <w:rsid w:val="FF7F7602"/>
    <w:rsid w:val="FF7F9999"/>
    <w:rsid w:val="FFAC5BB4"/>
    <w:rsid w:val="FFBB3065"/>
    <w:rsid w:val="FFFB498E"/>
    <w:rsid w:val="FFFEE3AF"/>
    <w:rsid w:val="FFFFD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15"/>
    <w:qFormat/>
    <w:uiPriority w:val="0"/>
    <w:pPr>
      <w:spacing w:before="0" w:beforeAutospacing="0" w:after="0" w:afterAutospacing="0"/>
      <w:ind w:firstLine="0" w:firstLineChars="0"/>
      <w:jc w:val="center"/>
      <w:outlineLvl w:val="0"/>
    </w:pPr>
    <w:rPr>
      <w:rFonts w:hint="eastAsia" w:ascii="宋体" w:hAnsi="宋体" w:eastAsia="方正小标宋简体" w:cs="宋体"/>
      <w:bCs/>
      <w:kern w:val="44"/>
      <w:sz w:val="44"/>
      <w:szCs w:val="48"/>
      <w:lang w:bidi="ar"/>
    </w:rPr>
  </w:style>
  <w:style w:type="paragraph" w:styleId="3">
    <w:name w:val="heading 2"/>
    <w:basedOn w:val="1"/>
    <w:next w:val="1"/>
    <w:link w:val="18"/>
    <w:unhideWhenUsed/>
    <w:qFormat/>
    <w:uiPriority w:val="0"/>
    <w:pPr>
      <w:spacing w:before="0" w:beforeAutospacing="0" w:after="0" w:afterAutospacing="0"/>
      <w:jc w:val="left"/>
      <w:outlineLvl w:val="1"/>
    </w:pPr>
    <w:rPr>
      <w:rFonts w:hint="eastAsia" w:ascii="宋体" w:hAnsi="宋体" w:eastAsia="黑体" w:cs="宋体"/>
      <w:bCs/>
      <w:kern w:val="0"/>
      <w:sz w:val="32"/>
      <w:szCs w:val="36"/>
      <w:lang w:bidi="ar"/>
    </w:rPr>
  </w:style>
  <w:style w:type="paragraph" w:styleId="4">
    <w:name w:val="heading 3"/>
    <w:basedOn w:val="1"/>
    <w:next w:val="1"/>
    <w:link w:val="14"/>
    <w:unhideWhenUsed/>
    <w:qFormat/>
    <w:uiPriority w:val="0"/>
    <w:pPr>
      <w:spacing w:before="0" w:beforeAutospacing="0" w:after="0" w:afterAutospacing="0" w:line="240" w:lineRule="auto"/>
      <w:ind w:firstLine="640" w:firstLineChars="200"/>
      <w:jc w:val="both"/>
      <w:outlineLvl w:val="2"/>
    </w:pPr>
    <w:rPr>
      <w:rFonts w:hint="eastAsia" w:ascii="宋体" w:hAnsi="宋体" w:eastAsia="楷体_GB2312" w:cs="宋体"/>
      <w:bCs/>
      <w:kern w:val="0"/>
      <w:sz w:val="32"/>
      <w:szCs w:val="27"/>
      <w:lang w:bidi="ar"/>
    </w:rPr>
  </w:style>
  <w:style w:type="character" w:default="1" w:styleId="10">
    <w:name w:val="Default Paragraph Font"/>
    <w:autoRedefine/>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spacing w:after="120" w:afterLines="0" w:afterAutospacing="0"/>
      <w:ind w:left="420" w:leftChars="200"/>
    </w:pPr>
  </w:style>
  <w:style w:type="paragraph" w:styleId="7">
    <w:name w:val="Normal (Web)"/>
    <w:basedOn w:val="1"/>
    <w:qFormat/>
    <w:uiPriority w:val="0"/>
    <w:pPr>
      <w:widowControl/>
      <w:spacing w:beforeAutospacing="0" w:afterAutospacing="0" w:line="560" w:lineRule="exact"/>
      <w:ind w:firstLine="880" w:firstLineChars="200"/>
      <w:jc w:val="both"/>
    </w:pPr>
    <w:rPr>
      <w:rFonts w:ascii="Times New Roman" w:hAnsi="Times New Roman" w:cs="宋体"/>
      <w:kern w:val="0"/>
    </w:rPr>
  </w:style>
  <w:style w:type="paragraph" w:styleId="8">
    <w:name w:val="Body Text First Indent 2"/>
    <w:basedOn w:val="6"/>
    <w:qFormat/>
    <w:uiPriority w:val="0"/>
    <w:pPr>
      <w:ind w:firstLine="420" w:firstLineChars="200"/>
    </w:p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paragraph" w:customStyle="1" w:styleId="13">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14">
    <w:name w:val="标题 3 Char"/>
    <w:link w:val="4"/>
    <w:qFormat/>
    <w:uiPriority w:val="0"/>
    <w:rPr>
      <w:rFonts w:ascii="宋体" w:hAnsi="宋体" w:eastAsia="楷体_GB2312"/>
      <w:sz w:val="32"/>
    </w:rPr>
  </w:style>
  <w:style w:type="character" w:customStyle="1" w:styleId="15">
    <w:name w:val="标题 1 字符"/>
    <w:link w:val="2"/>
    <w:qFormat/>
    <w:uiPriority w:val="9"/>
    <w:rPr>
      <w:rFonts w:ascii="宋体" w:hAnsi="宋体" w:eastAsia="方正小标宋简体" w:cs="宋体"/>
      <w:bCs/>
      <w:kern w:val="44"/>
      <w:sz w:val="44"/>
      <w:szCs w:val="48"/>
      <w:lang w:val="en-US" w:eastAsia="zh-CN" w:bidi="ar"/>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character" w:customStyle="1" w:styleId="18">
    <w:name w:val="标题 2 Char"/>
    <w:link w:val="3"/>
    <w:qFormat/>
    <w:uiPriority w:val="0"/>
    <w:rPr>
      <w:rFonts w:hint="eastAsia" w:ascii="宋体" w:hAnsi="宋体" w:eastAsia="黑体" w:cs="宋体"/>
      <w:bCs/>
      <w:kern w:val="0"/>
      <w:sz w:val="32"/>
      <w:szCs w:val="36"/>
      <w:lang w:bidi="ar"/>
    </w:rPr>
  </w:style>
  <w:style w:type="paragraph" w:customStyle="1" w:styleId="19">
    <w:name w:val="标准文件_正文表标题"/>
    <w:next w:val="16"/>
    <w:qFormat/>
    <w:uiPriority w:val="0"/>
    <w:pPr>
      <w:numPr>
        <w:ilvl w:val="0"/>
        <w:numId w:val="1"/>
      </w:numPr>
      <w:tabs>
        <w:tab w:val="left" w:pos="0"/>
      </w:tabs>
      <w:spacing w:before="50" w:beforeLines="50" w:after="50" w:afterLines="50"/>
      <w:jc w:val="center"/>
    </w:pPr>
    <w:rPr>
      <w:rFonts w:ascii="黑体" w:hAnsi="Times New Roman" w:eastAsia="黑体" w:cs="Times New Roman"/>
      <w:sz w:val="21"/>
      <w:lang w:val="en-US" w:eastAsia="zh-CN" w:bidi="ar-SA"/>
    </w:rPr>
  </w:style>
  <w:style w:type="character" w:customStyle="1" w:styleId="20">
    <w:name w:val="font11"/>
    <w:basedOn w:val="10"/>
    <w:qFormat/>
    <w:uiPriority w:val="0"/>
    <w:rPr>
      <w:rFonts w:hint="default" w:ascii="国标仿宋-GB / T 2312" w:hAnsi="国标仿宋-GB / T 2312" w:eastAsia="国标仿宋-GB / T 2312" w:cs="国标仿宋-GB / T 2312"/>
      <w:color w:val="000000"/>
      <w:sz w:val="24"/>
      <w:szCs w:val="24"/>
      <w:u w:val="none"/>
    </w:rPr>
  </w:style>
  <w:style w:type="paragraph" w:customStyle="1" w:styleId="21">
    <w:name w:val="标准文件_正文公式"/>
    <w:basedOn w:val="1"/>
    <w:next w:val="22"/>
    <w:qFormat/>
    <w:uiPriority w:val="0"/>
    <w:pPr>
      <w:tabs>
        <w:tab w:val="center" w:pos="4678"/>
        <w:tab w:val="right" w:leader="middleDot" w:pos="9356"/>
      </w:tabs>
      <w:spacing w:line="240" w:lineRule="auto"/>
    </w:pPr>
    <w:rPr>
      <w:rFonts w:ascii="宋体" w:hAnsi="宋体"/>
    </w:rPr>
  </w:style>
  <w:style w:type="paragraph" w:customStyle="1" w:styleId="22">
    <w:name w:val="标准文件_标准正文"/>
    <w:basedOn w:val="1"/>
    <w:next w:val="16"/>
    <w:qFormat/>
    <w:uiPriority w:val="0"/>
    <w:pPr>
      <w:snapToGrid w:val="0"/>
      <w:ind w:firstLine="200" w:firstLineChars="200"/>
    </w:pPr>
    <w:rPr>
      <w:kern w:val="0"/>
    </w:rPr>
  </w:style>
  <w:style w:type="paragraph" w:customStyle="1" w:styleId="23">
    <w:name w:val="标准文件_一级条标题"/>
    <w:basedOn w:val="24"/>
    <w:next w:val="16"/>
    <w:qFormat/>
    <w:uiPriority w:val="0"/>
    <w:pPr>
      <w:numPr>
        <w:ilvl w:val="2"/>
      </w:numPr>
      <w:spacing w:before="50" w:beforeLines="50" w:after="50" w:afterLines="50"/>
      <w:outlineLvl w:val="1"/>
    </w:pPr>
  </w:style>
  <w:style w:type="paragraph" w:customStyle="1" w:styleId="24">
    <w:name w:val="标准文件_章标题"/>
    <w:next w:val="1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5">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be415e2-3bf4-4592-8393-6494ef8e4438}"/>
        <w:style w:val=""/>
        <w:category>
          <w:name w:val="常规"/>
          <w:gallery w:val="placeholder"/>
        </w:category>
        <w:types>
          <w:type w:val="bbPlcHdr"/>
        </w:types>
        <w:behaviors>
          <w:behavior w:val="content"/>
        </w:behaviors>
        <w:description w:val=""/>
        <w:guid w:val="{7be415e2-3bf4-4592-8393-6494ef8e4438}"/>
      </w:docPartPr>
      <w:docPartBody>
        <w:p w14:paraId="1B114E76">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c3679c4a-266b-4088-9788-19edeb9e84b0</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 xmlns="http://schemas.wps.cn/vas-ai-hub/contract-review">2AFCD64B</paraID>
      <start xmlns="http://schemas.wps.cn/vas-ai-hub/contract-review">19</start>
      <end xmlns="http://schemas.wps.cn/vas-ai-hub/contract-review">20</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38918ed4-0eb6-4213-af45-83ee056cdffe</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 77E6715</paraID>
      <start xmlns="http://schemas.wps.cn/vas-ai-hub/contract-review">103</start>
      <end xmlns="http://schemas.wps.cn/vas-ai-hub/contract-review">107</end>
      <status xmlns="http://schemas.wps.cn/vas-ai-hub/contract-review">modified</status>
      <modifiedWord xmlns="http://schemas.wps.cn/vas-ai-hub/contract-review">法律法规</modifiedWord>
      <trackRevisions xmlns="http://schemas.wps.cn/vas-ai-hub/contract-review">false</trackRevisions>
    </reviewItem>
    <reviewItem xmlns="http://schemas.wps.cn/vas-ai-hub/contract-review">
      <errorID xmlns="http://schemas.wps.cn/vas-ai-hub/contract-review">1ef2e4b1-0359-4aea-9446-d41a1eff62cd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108EDA0D</paraID>
      <start xmlns="http://schemas.wps.cn/vas-ai-hub/contract-review">48</start>
      <end xmlns="http://schemas.wps.cn/vas-ai-hub/contract-review">49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b3d7fd48-9951-4baf-a979-b24ee81365c4</errorID>
      <errorWord xmlns="http://schemas.wps.cn/vas-ai-hub/contract-review">《温室气体 产品碳足迹量化方法与要求 电解二氧化锰》（征求意见稿）</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《温室气体 产品碳足迹量化方法与要求 电解二氧化锰（征求意见稿）》</item>
      </candidateList>
      <explain xmlns="http://schemas.wps.cn/vas-ai-hub/contract-review">疑似政策文件、法律法规名称等书写不规范，请注意检查。</explain>
      <paraID xmlns="http://schemas.wps.cn/vas-ai-hub/contract-review">6BA111A7</paraID>
      <start xmlns="http://schemas.wps.cn/vas-ai-hub/contract-review">202</start>
      <end xmlns="http://schemas.wps.cn/vas-ai-hub/contract-review">235</end>
      <status xmlns="http://schemas.wps.cn/vas-ai-hub/contract-review">modified</status>
      <modifiedWord xmlns="http://schemas.wps.cn/vas-ai-hub/contract-review">《温室气体 产品碳足迹量化方法与要求 电解二氧化锰（征求意见稿）》</modifiedWord>
      <trackRevisions xmlns="http://schemas.wps.cn/vas-ai-hub/contract-review">false</trackRevisions>
    </reviewItem>
    <reviewItem xmlns="http://schemas.wps.cn/vas-ai-hub/contract-review">
      <errorID xmlns="http://schemas.wps.cn/vas-ai-hub/contract-review">97b69fc8-8980-4f10-855e-004fb625e5c6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3ECD48F6</paraID>
      <start xmlns="http://schemas.wps.cn/vas-ai-hub/contract-review">14</start>
      <end xmlns="http://schemas.wps.cn/vas-ai-hub/contract-review">18</end>
      <status xmlns="http://schemas.wps.cn/vas-ai-hub/contract-review">modified</status>
      <modifiedWord xmlns="http://schemas.wps.cn/vas-ai-hub/contract-review">法律法规</modifiedWord>
      <trackRevisions xmlns="http://schemas.wps.cn/vas-ai-hub/contract-review">false</trackRevisions>
    </reviewItem>
    <reviewItem xmlns="http://schemas.wps.cn/vas-ai-hub/contract-review">
      <errorID xmlns="http://schemas.wps.cn/vas-ai-hub/contract-review">17c82a53-1516-42e2-b800-738931550e0a</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6894FBB1</paraID>
      <start xmlns="http://schemas.wps.cn/vas-ai-hub/contract-review">1</start>
      <end xmlns="http://schemas.wps.cn/vas-ai-hub/contract-review">3</end>
      <status xmlns="http://schemas.wps.cn/vas-ai-hub/contract-review">modified</status>
      <modifiedWord xmlns="http://schemas.wps.cn/vas-ai-hub/contract-review">1.</modifiedWord>
      <trackRevisions xmlns="http://schemas.wps.cn/vas-ai-hub/contract-review">false</trackRevisions>
    </reviewItem>
    <reviewItem xmlns="http://schemas.wps.cn/vas-ai-hub/contract-review">
      <errorID xmlns="http://schemas.wps.cn/vas-ai-hub/contract-review">455db43c-5613-4620-8f06-96a5a103b168</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28A61B13</paraID>
      <start xmlns="http://schemas.wps.cn/vas-ai-hub/contract-review">0</start>
      <end xmlns="http://schemas.wps.cn/vas-ai-hub/contract-review">2</end>
      <status xmlns="http://schemas.wps.cn/vas-ai-hub/contract-review">modified</status>
      <modifiedWord xmlns="http://schemas.wps.cn/vas-ai-hub/contract-review">2.</modifiedWord>
      <trackRevisions xmlns="http://schemas.wps.cn/vas-ai-hub/contract-review">false</trackRevisions>
    </reviewItem>
    <reviewItem xmlns="http://schemas.wps.cn/vas-ai-hub/contract-review">
      <errorID xmlns="http://schemas.wps.cn/vas-ai-hub/contract-review">831da47a-f8b8-422f-b970-9e474a04ac04</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218FCDA4</paraID>
      <start xmlns="http://schemas.wps.cn/vas-ai-hub/contract-review">0</start>
      <end xmlns="http://schemas.wps.cn/vas-ai-hub/contract-review">2</end>
      <status xmlns="http://schemas.wps.cn/vas-ai-hub/contract-review">modified</status>
      <modifiedWord xmlns="http://schemas.wps.cn/vas-ai-hub/contract-review">3.</modifiedWord>
      <trackRevisions xmlns="http://schemas.wps.cn/vas-ai-hub/contract-review">false</trackRevisions>
    </reviewItem>
    <reviewItem xmlns="http://schemas.wps.cn/vas-ai-hub/contract-review">
      <errorID xmlns="http://schemas.wps.cn/vas-ai-hub/contract-review">d53ac6e6-7c55-4cb5-b456-50e283d5fdba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5C4A1ECF</paraID>
      <start xmlns="http://schemas.wps.cn/vas-ai-hub/contract-review">3</start>
      <end xmlns="http://schemas.wps.cn/vas-ai-hub/contract-review">7</end>
      <status xmlns="http://schemas.wps.cn/vas-ai-hub/contract-review">modified</status>
      <modifiedWord xmlns="http://schemas.wps.cn/vas-ai-hub/contract-review">法律法规</modifiedWord>
      <trackRevisions xmlns="http://schemas.wps.cn/vas-ai-hub/contract-review">false</trackRevisions>
    </reviewItem>
    <reviewItem xmlns="http://schemas.wps.cn/vas-ai-hub/contract-review">
      <errorID xmlns="http://schemas.wps.cn/vas-ai-hub/contract-review">dd89a0d4-b0a1-4997-bc19-0b6b7d94fa75</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365BE08A</paraID>
      <start xmlns="http://schemas.wps.cn/vas-ai-hub/contract-review">10</start>
      <end xmlns="http://schemas.wps.cn/vas-ai-hub/contract-review">14</end>
      <status xmlns="http://schemas.wps.cn/vas-ai-hub/contract-review">modified</status>
      <modifiedWord xmlns="http://schemas.wps.cn/vas-ai-hub/contract-review">法律法规</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5c657f72-8b97-4ec9-b6dd-7ecfde984884}">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8917</Words>
  <Characters>9584</Characters>
  <Lines>0</Lines>
  <Paragraphs>0</Paragraphs>
  <TotalTime>1</TotalTime>
  <ScaleCrop>false</ScaleCrop>
  <LinksUpToDate>false</LinksUpToDate>
  <CharactersWithSpaces>9729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2026-03-13T00:45:00Z</dcterms:created>
  <dc:creator>fever</dc:creator>
  <cp:lastModifiedBy>HH</cp:lastModifiedBy>
  <dcterms:modified xsi:type="dcterms:W3CDTF">2026-06-10T09:27:10Z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6E31DC774D944A48AA37181708C49252_13</vt:lpwstr>
  </property>
  <property fmtid="{D5CDD505-2E9C-101B-9397-08002B2CF9AE}" pid="4" name="KSOTemplateDocerSaveRecord">
    <vt:lpwstr>eyJoZGlkIjoiOWM3MWYzNDgyMGYyNDE3MTE5YjMwNWUzODdkZWUyMWQiLCJ1c2VySWQiOiIxMTcyNzgzNTE1In0=</vt:lpwstr>
  </property>
</Properties>
</file>